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210D" w14:textId="388F9EDA" w:rsidR="00827A4B" w:rsidRPr="00755710" w:rsidRDefault="00827A4B" w:rsidP="00755710">
      <w:pPr>
        <w:spacing w:after="0" w:line="240" w:lineRule="auto"/>
        <w:outlineLvl w:val="3"/>
        <w:rPr>
          <w:rFonts w:ascii="Calibri" w:eastAsia="Times New Roman" w:hAnsi="Calibri" w:cs="Times New Roman"/>
          <w:b/>
          <w:bCs/>
          <w:sz w:val="20"/>
          <w:szCs w:val="24"/>
        </w:rPr>
      </w:pPr>
      <w:r w:rsidRPr="00755710">
        <w:rPr>
          <w:rFonts w:ascii="Calibri" w:eastAsia="Times New Roman" w:hAnsi="Calibri" w:cs="Times New Roman"/>
          <w:b/>
          <w:bCs/>
          <w:sz w:val="20"/>
          <w:szCs w:val="24"/>
        </w:rPr>
        <w:t xml:space="preserve">Passerelle BACNET </w:t>
      </w:r>
    </w:p>
    <w:p w14:paraId="53FEA072" w14:textId="77777777" w:rsidR="00534DCE" w:rsidRDefault="00534DCE" w:rsidP="00534DCE">
      <w:pPr>
        <w:spacing w:after="0" w:line="240" w:lineRule="auto"/>
        <w:rPr>
          <w:rFonts w:eastAsia="Times New Roman" w:cstheme="minorHAnsi"/>
          <w:color w:val="000000"/>
          <w:sz w:val="24"/>
          <w:szCs w:val="24"/>
        </w:rPr>
      </w:pPr>
    </w:p>
    <w:p w14:paraId="32E4D6FA" w14:textId="6032FF46" w:rsidR="00827A4B" w:rsidRDefault="00827A4B" w:rsidP="00C64D15">
      <w:pPr>
        <w:spacing w:after="0" w:line="240" w:lineRule="auto"/>
        <w:jc w:val="both"/>
        <w:rPr>
          <w:rFonts w:ascii="Calibri" w:eastAsia="Times New Roman" w:hAnsi="Calibri" w:cs="Times New Roman"/>
          <w:sz w:val="20"/>
          <w:szCs w:val="24"/>
        </w:rPr>
      </w:pPr>
      <w:r w:rsidRPr="00534DCE">
        <w:rPr>
          <w:rFonts w:ascii="Calibri" w:eastAsia="Times New Roman" w:hAnsi="Calibri" w:cs="Times New Roman"/>
          <w:sz w:val="20"/>
          <w:szCs w:val="24"/>
        </w:rPr>
        <w:t xml:space="preserve">L'installation communiquera avec la gestion technique du bâtiment (GTB) par le biais du protocole de communication BACNET. Le bus DIII-Net sera relié à une ou plusieurs passerelles BACNET GATEWAY (référence </w:t>
      </w:r>
      <w:r w:rsidRPr="00360476">
        <w:rPr>
          <w:rFonts w:ascii="Calibri" w:eastAsia="Times New Roman" w:hAnsi="Calibri" w:cs="Times New Roman"/>
          <w:b/>
          <w:bCs/>
          <w:sz w:val="20"/>
          <w:szCs w:val="24"/>
        </w:rPr>
        <w:t>DMS502B51</w:t>
      </w:r>
      <w:r w:rsidRPr="00534DCE">
        <w:rPr>
          <w:rFonts w:ascii="Calibri" w:eastAsia="Times New Roman" w:hAnsi="Calibri" w:cs="Times New Roman"/>
          <w:sz w:val="20"/>
          <w:szCs w:val="24"/>
        </w:rPr>
        <w:t xml:space="preserve">) de marque DAIKIN alimentée en 220 V </w:t>
      </w:r>
      <w:r w:rsidRPr="00534DCE">
        <w:rPr>
          <w:rFonts w:ascii="Calibri" w:eastAsia="Times New Roman" w:hAnsi="Calibri" w:cs="Times New Roman"/>
          <w:i/>
          <w:iCs/>
          <w:sz w:val="20"/>
          <w:szCs w:val="24"/>
        </w:rPr>
        <w:t>(</w:t>
      </w:r>
      <w:r w:rsidR="00534DCE">
        <w:rPr>
          <w:rFonts w:ascii="Calibri" w:eastAsia="Times New Roman" w:hAnsi="Calibri" w:cs="Times New Roman"/>
          <w:i/>
          <w:iCs/>
          <w:sz w:val="20"/>
          <w:szCs w:val="24"/>
        </w:rPr>
        <w:t>un</w:t>
      </w:r>
      <w:r w:rsidRPr="00534DCE">
        <w:rPr>
          <w:rFonts w:ascii="Calibri" w:eastAsia="Times New Roman" w:hAnsi="Calibri" w:cs="Times New Roman"/>
          <w:i/>
          <w:iCs/>
          <w:sz w:val="20"/>
          <w:szCs w:val="24"/>
        </w:rPr>
        <w:t xml:space="preserve"> onduleur</w:t>
      </w:r>
      <w:r w:rsidR="00534DCE">
        <w:rPr>
          <w:rFonts w:ascii="Calibri" w:eastAsia="Times New Roman" w:hAnsi="Calibri" w:cs="Times New Roman"/>
          <w:i/>
          <w:iCs/>
          <w:sz w:val="20"/>
          <w:szCs w:val="24"/>
        </w:rPr>
        <w:t xml:space="preserve"> sera </w:t>
      </w:r>
      <w:r w:rsidR="00360476">
        <w:rPr>
          <w:rFonts w:ascii="Calibri" w:eastAsia="Times New Roman" w:hAnsi="Calibri" w:cs="Times New Roman"/>
          <w:i/>
          <w:iCs/>
          <w:sz w:val="20"/>
          <w:szCs w:val="24"/>
        </w:rPr>
        <w:t>à</w:t>
      </w:r>
      <w:r w:rsidR="00534DCE">
        <w:rPr>
          <w:rFonts w:ascii="Calibri" w:eastAsia="Times New Roman" w:hAnsi="Calibri" w:cs="Times New Roman"/>
          <w:i/>
          <w:iCs/>
          <w:sz w:val="20"/>
          <w:szCs w:val="24"/>
        </w:rPr>
        <w:t xml:space="preserve"> prévoir)</w:t>
      </w:r>
      <w:r w:rsidR="000C53ED">
        <w:rPr>
          <w:rFonts w:ascii="Calibri" w:eastAsia="Times New Roman" w:hAnsi="Calibri" w:cs="Times New Roman"/>
          <w:sz w:val="20"/>
          <w:szCs w:val="24"/>
        </w:rPr>
        <w:t>.</w:t>
      </w:r>
    </w:p>
    <w:p w14:paraId="7C20939E" w14:textId="2CADE70A" w:rsidR="005B407E" w:rsidRPr="000C53ED" w:rsidRDefault="005B407E" w:rsidP="00C64D15">
      <w:pPr>
        <w:spacing w:after="0" w:line="240" w:lineRule="auto"/>
        <w:jc w:val="both"/>
        <w:rPr>
          <w:rFonts w:ascii="Calibri" w:eastAsia="Times New Roman" w:hAnsi="Calibri" w:cs="Times New Roman"/>
          <w:sz w:val="20"/>
          <w:szCs w:val="24"/>
        </w:rPr>
      </w:pPr>
      <w:r>
        <w:rPr>
          <w:rFonts w:ascii="Calibri" w:eastAsia="Times New Roman" w:hAnsi="Calibri" w:cs="Times New Roman"/>
          <w:sz w:val="20"/>
          <w:szCs w:val="24"/>
        </w:rPr>
        <w:t>De base la passerelle BACNET disposera de deux bus DIII-Net permettant de raccorder jusqu’à 128 unités intérieures (64 par bus).</w:t>
      </w:r>
    </w:p>
    <w:p w14:paraId="040D8D88" w14:textId="77777777" w:rsidR="00CD664E" w:rsidRDefault="00CD664E" w:rsidP="00534DCE">
      <w:pPr>
        <w:spacing w:after="0" w:line="240" w:lineRule="auto"/>
        <w:rPr>
          <w:rFonts w:ascii="Calibri" w:eastAsia="Times New Roman" w:hAnsi="Calibri" w:cs="Times New Roman"/>
          <w:i/>
          <w:iCs/>
          <w:sz w:val="20"/>
          <w:szCs w:val="24"/>
        </w:rPr>
      </w:pPr>
    </w:p>
    <w:p w14:paraId="4396D560" w14:textId="336D2FA6" w:rsidR="00CD664E" w:rsidRPr="00CD664E" w:rsidRDefault="00CD664E" w:rsidP="00CD664E">
      <w:pPr>
        <w:spacing w:after="0" w:line="240" w:lineRule="auto"/>
        <w:jc w:val="center"/>
        <w:rPr>
          <w:rFonts w:ascii="Calibri" w:eastAsia="Times New Roman" w:hAnsi="Calibri" w:cs="Times New Roman"/>
          <w:sz w:val="20"/>
          <w:szCs w:val="24"/>
        </w:rPr>
      </w:pPr>
      <w:r w:rsidRPr="00CD664E">
        <w:rPr>
          <w:rFonts w:ascii="Calibri" w:eastAsia="Times New Roman" w:hAnsi="Calibri" w:cs="Times New Roman"/>
          <w:sz w:val="20"/>
          <w:szCs w:val="24"/>
        </w:rPr>
        <w:drawing>
          <wp:inline distT="0" distB="0" distL="0" distR="0" wp14:anchorId="7EC9D469" wp14:editId="1FE6A992">
            <wp:extent cx="1518752" cy="1547865"/>
            <wp:effectExtent l="0" t="0" r="5715" b="0"/>
            <wp:docPr id="2" name="Image 1" descr="Une image contenant texte, Appareils électroniques, écran, Appareil électronique&#10;&#10;Description générée automatiquement">
              <a:extLst xmlns:a="http://schemas.openxmlformats.org/drawingml/2006/main">
                <a:ext uri="{FF2B5EF4-FFF2-40B4-BE49-F238E27FC236}">
                  <a16:creationId xmlns:a16="http://schemas.microsoft.com/office/drawing/2014/main" id="{9238C474-850C-AE55-C4D8-EC1D14193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Appareils électroniques, écran, Appareil électronique&#10;&#10;Description générée automatiquement">
                      <a:extLst>
                        <a:ext uri="{FF2B5EF4-FFF2-40B4-BE49-F238E27FC236}">
                          <a16:creationId xmlns:a16="http://schemas.microsoft.com/office/drawing/2014/main" id="{9238C474-850C-AE55-C4D8-EC1D14193AEF}"/>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18752" cy="1547865"/>
                    </a:xfrm>
                    <a:prstGeom prst="rect">
                      <a:avLst/>
                    </a:prstGeom>
                  </pic:spPr>
                </pic:pic>
              </a:graphicData>
            </a:graphic>
          </wp:inline>
        </w:drawing>
      </w:r>
    </w:p>
    <w:p w14:paraId="0C2F276E" w14:textId="77777777" w:rsidR="00534DCE" w:rsidRPr="00534DCE" w:rsidRDefault="00534DCE" w:rsidP="00534DCE">
      <w:pPr>
        <w:spacing w:after="0" w:line="240" w:lineRule="auto"/>
        <w:rPr>
          <w:rFonts w:ascii="Calibri" w:eastAsia="Times New Roman" w:hAnsi="Calibri" w:cs="Times New Roman"/>
          <w:sz w:val="20"/>
          <w:szCs w:val="24"/>
        </w:rPr>
      </w:pPr>
    </w:p>
    <w:p w14:paraId="05F84BE7" w14:textId="4AC3C1A9" w:rsidR="00360476" w:rsidRPr="00534DCE" w:rsidRDefault="00827A4B" w:rsidP="00C64D15">
      <w:pPr>
        <w:spacing w:after="0" w:line="240" w:lineRule="auto"/>
        <w:jc w:val="both"/>
        <w:rPr>
          <w:rFonts w:ascii="Calibri" w:eastAsia="Times New Roman" w:hAnsi="Calibri" w:cs="Times New Roman"/>
          <w:sz w:val="20"/>
          <w:szCs w:val="24"/>
        </w:rPr>
      </w:pPr>
      <w:r w:rsidRPr="00534DCE">
        <w:rPr>
          <w:rFonts w:ascii="Calibri" w:eastAsia="Times New Roman" w:hAnsi="Calibri" w:cs="Times New Roman"/>
          <w:sz w:val="20"/>
          <w:szCs w:val="24"/>
        </w:rPr>
        <w:t>La passerelle dispose</w:t>
      </w:r>
      <w:r w:rsidR="000C53ED">
        <w:rPr>
          <w:rFonts w:ascii="Calibri" w:eastAsia="Times New Roman" w:hAnsi="Calibri" w:cs="Times New Roman"/>
          <w:sz w:val="20"/>
          <w:szCs w:val="24"/>
        </w:rPr>
        <w:t>ra</w:t>
      </w:r>
      <w:r w:rsidRPr="00534DCE">
        <w:rPr>
          <w:rFonts w:ascii="Calibri" w:eastAsia="Times New Roman" w:hAnsi="Calibri" w:cs="Times New Roman"/>
          <w:sz w:val="20"/>
          <w:szCs w:val="24"/>
        </w:rPr>
        <w:t xml:space="preserve"> de deux option</w:t>
      </w:r>
      <w:r w:rsidR="000C53ED">
        <w:rPr>
          <w:rFonts w:ascii="Calibri" w:eastAsia="Times New Roman" w:hAnsi="Calibri" w:cs="Times New Roman"/>
          <w:sz w:val="20"/>
          <w:szCs w:val="24"/>
        </w:rPr>
        <w:t>s</w:t>
      </w:r>
      <w:r w:rsidRPr="00534DCE">
        <w:rPr>
          <w:rFonts w:ascii="Calibri" w:eastAsia="Times New Roman" w:hAnsi="Calibri" w:cs="Times New Roman"/>
          <w:sz w:val="20"/>
          <w:szCs w:val="24"/>
        </w:rPr>
        <w:t> :</w:t>
      </w:r>
    </w:p>
    <w:p w14:paraId="44E9FF64" w14:textId="1EFD2D12" w:rsidR="00360476" w:rsidRPr="00C53E9B" w:rsidRDefault="00827A4B" w:rsidP="00C53E9B">
      <w:pPr>
        <w:pStyle w:val="Paragraphedeliste"/>
        <w:numPr>
          <w:ilvl w:val="0"/>
          <w:numId w:val="2"/>
        </w:numPr>
        <w:spacing w:after="0" w:line="240" w:lineRule="auto"/>
        <w:jc w:val="both"/>
        <w:rPr>
          <w:rFonts w:ascii="Calibri" w:eastAsia="Times New Roman" w:hAnsi="Calibri" w:cs="Times New Roman"/>
          <w:sz w:val="20"/>
          <w:lang w:val="fr-FR"/>
        </w:rPr>
      </w:pPr>
      <w:r w:rsidRPr="00360476">
        <w:rPr>
          <w:rFonts w:ascii="Calibri" w:eastAsia="Times New Roman" w:hAnsi="Calibri" w:cs="Times New Roman"/>
          <w:b/>
          <w:bCs/>
          <w:sz w:val="20"/>
          <w:lang w:val="fr-FR"/>
        </w:rPr>
        <w:t>DAM411B51 </w:t>
      </w:r>
      <w:r w:rsidRPr="00360476">
        <w:rPr>
          <w:rFonts w:ascii="Calibri" w:eastAsia="Times New Roman" w:hAnsi="Calibri" w:cs="Times New Roman"/>
          <w:sz w:val="20"/>
          <w:lang w:val="fr-FR"/>
        </w:rPr>
        <w:t>: carte d’extension</w:t>
      </w:r>
      <w:r w:rsidR="00360476" w:rsidRPr="00360476">
        <w:rPr>
          <w:rFonts w:ascii="Calibri" w:eastAsia="Times New Roman" w:hAnsi="Calibri" w:cs="Times New Roman"/>
          <w:sz w:val="20"/>
          <w:lang w:val="fr-FR"/>
        </w:rPr>
        <w:t xml:space="preserve"> qui</w:t>
      </w:r>
      <w:r w:rsidR="005B407E" w:rsidRPr="00360476">
        <w:rPr>
          <w:rFonts w:ascii="Calibri" w:eastAsia="Times New Roman" w:hAnsi="Calibri" w:cs="Times New Roman"/>
          <w:sz w:val="20"/>
          <w:lang w:val="fr-FR"/>
        </w:rPr>
        <w:t xml:space="preserve"> ajout</w:t>
      </w:r>
      <w:r w:rsidR="00360476" w:rsidRPr="00360476">
        <w:rPr>
          <w:rFonts w:ascii="Calibri" w:eastAsia="Times New Roman" w:hAnsi="Calibri" w:cs="Times New Roman"/>
          <w:sz w:val="20"/>
          <w:lang w:val="fr-FR"/>
        </w:rPr>
        <w:t>e</w:t>
      </w:r>
      <w:r w:rsidR="005B407E" w:rsidRPr="00360476">
        <w:rPr>
          <w:rFonts w:ascii="Calibri" w:eastAsia="Times New Roman" w:hAnsi="Calibri" w:cs="Times New Roman"/>
          <w:sz w:val="20"/>
          <w:lang w:val="fr-FR"/>
        </w:rPr>
        <w:t xml:space="preserve"> deux bus DIII-net supplémentaire,</w:t>
      </w:r>
      <w:r w:rsidRPr="00360476">
        <w:rPr>
          <w:rFonts w:ascii="Calibri" w:eastAsia="Times New Roman" w:hAnsi="Calibri" w:cs="Times New Roman"/>
          <w:sz w:val="20"/>
          <w:lang w:val="fr-FR"/>
        </w:rPr>
        <w:t xml:space="preserve"> permet</w:t>
      </w:r>
      <w:r w:rsidR="00360476" w:rsidRPr="00360476">
        <w:rPr>
          <w:rFonts w:ascii="Calibri" w:eastAsia="Times New Roman" w:hAnsi="Calibri" w:cs="Times New Roman"/>
          <w:sz w:val="20"/>
          <w:lang w:val="fr-FR"/>
        </w:rPr>
        <w:t>tant</w:t>
      </w:r>
      <w:r w:rsidRPr="00360476">
        <w:rPr>
          <w:rFonts w:ascii="Calibri" w:eastAsia="Times New Roman" w:hAnsi="Calibri" w:cs="Times New Roman"/>
          <w:sz w:val="20"/>
          <w:lang w:val="fr-FR"/>
        </w:rPr>
        <w:t xml:space="preserve"> de monter à 4 le nombre de bus pouvant être géré par la passerelle </w:t>
      </w:r>
      <w:r w:rsidR="00360476" w:rsidRPr="00360476">
        <w:rPr>
          <w:rFonts w:ascii="Calibri" w:eastAsia="Times New Roman" w:hAnsi="Calibri" w:cs="Times New Roman"/>
          <w:sz w:val="20"/>
          <w:lang w:val="fr-FR"/>
        </w:rPr>
        <w:t>et ainsi raccorder jusqu’à 256 unités intérieures</w:t>
      </w:r>
      <w:r w:rsidRPr="00360476">
        <w:rPr>
          <w:rFonts w:ascii="Calibri" w:eastAsia="Times New Roman" w:hAnsi="Calibri" w:cs="Times New Roman"/>
          <w:sz w:val="20"/>
          <w:lang w:val="fr-FR"/>
        </w:rPr>
        <w:t xml:space="preserve"> </w:t>
      </w:r>
    </w:p>
    <w:p w14:paraId="2E912E93" w14:textId="64B51F8B" w:rsidR="00827A4B" w:rsidRPr="00360476" w:rsidRDefault="00827A4B" w:rsidP="00C64D15">
      <w:pPr>
        <w:pStyle w:val="Paragraphedeliste"/>
        <w:numPr>
          <w:ilvl w:val="0"/>
          <w:numId w:val="2"/>
        </w:numPr>
        <w:spacing w:after="0" w:line="240" w:lineRule="auto"/>
        <w:jc w:val="both"/>
        <w:rPr>
          <w:rFonts w:ascii="Calibri" w:eastAsia="Times New Roman" w:hAnsi="Calibri" w:cs="Times New Roman"/>
          <w:i/>
          <w:iCs/>
          <w:sz w:val="20"/>
        </w:rPr>
      </w:pPr>
      <w:r w:rsidRPr="00C53E9B">
        <w:rPr>
          <w:rFonts w:ascii="Calibri" w:eastAsia="Times New Roman" w:hAnsi="Calibri" w:cs="Times New Roman"/>
          <w:b/>
          <w:bCs/>
          <w:sz w:val="20"/>
          <w:lang w:val="fr-FR"/>
        </w:rPr>
        <w:t>DAM412B51</w:t>
      </w:r>
      <w:r w:rsidRPr="00C53E9B">
        <w:rPr>
          <w:rFonts w:ascii="Calibri" w:eastAsia="Times New Roman" w:hAnsi="Calibri" w:cs="Times New Roman"/>
          <w:sz w:val="20"/>
          <w:lang w:val="fr-FR"/>
        </w:rPr>
        <w:t xml:space="preserve"> : carte </w:t>
      </w:r>
      <w:r w:rsidR="00C53E9B" w:rsidRPr="00C53E9B">
        <w:rPr>
          <w:rFonts w:ascii="Calibri" w:eastAsia="Times New Roman" w:hAnsi="Calibri" w:cs="Times New Roman"/>
          <w:sz w:val="20"/>
          <w:lang w:val="fr-FR"/>
        </w:rPr>
        <w:t>d’extension</w:t>
      </w:r>
      <w:r w:rsidRPr="00C53E9B">
        <w:rPr>
          <w:rFonts w:ascii="Calibri" w:eastAsia="Times New Roman" w:hAnsi="Calibri" w:cs="Times New Roman"/>
          <w:sz w:val="20"/>
          <w:lang w:val="fr-FR"/>
        </w:rPr>
        <w:t xml:space="preserve"> pour </w:t>
      </w:r>
      <w:r w:rsidR="00CD664E" w:rsidRPr="00C53E9B">
        <w:rPr>
          <w:rFonts w:ascii="Calibri" w:eastAsia="Times New Roman" w:hAnsi="Calibri" w:cs="Times New Roman"/>
          <w:sz w:val="20"/>
          <w:lang w:val="fr-FR"/>
        </w:rPr>
        <w:t>entrer</w:t>
      </w:r>
      <w:r w:rsidRPr="00C53E9B">
        <w:rPr>
          <w:rFonts w:ascii="Calibri" w:eastAsia="Times New Roman" w:hAnsi="Calibri" w:cs="Times New Roman"/>
          <w:sz w:val="20"/>
          <w:lang w:val="fr-FR"/>
        </w:rPr>
        <w:t xml:space="preserve"> impulsionnelle permettant de récupérer des impulsions provenant de compteurs posés sur les groupes</w:t>
      </w:r>
      <w:r w:rsidR="00360476" w:rsidRPr="00C53E9B">
        <w:rPr>
          <w:rFonts w:ascii="Calibri" w:eastAsia="Times New Roman" w:hAnsi="Calibri" w:cs="Times New Roman"/>
          <w:sz w:val="20"/>
          <w:lang w:val="fr-FR"/>
        </w:rPr>
        <w:t xml:space="preserve"> VRV</w:t>
      </w:r>
      <w:r w:rsidRPr="00C53E9B">
        <w:rPr>
          <w:rFonts w:ascii="Calibri" w:eastAsia="Times New Roman" w:hAnsi="Calibri" w:cs="Times New Roman"/>
          <w:sz w:val="20"/>
          <w:lang w:val="fr-FR"/>
        </w:rPr>
        <w:t xml:space="preserve"> pour répartir</w:t>
      </w:r>
      <w:r w:rsidR="00360476" w:rsidRPr="00C53E9B">
        <w:rPr>
          <w:rFonts w:ascii="Calibri" w:eastAsia="Times New Roman" w:hAnsi="Calibri" w:cs="Times New Roman"/>
          <w:sz w:val="20"/>
          <w:lang w:val="fr-FR"/>
        </w:rPr>
        <w:t xml:space="preserve"> leurs consommations électriques</w:t>
      </w:r>
      <w:r w:rsidRPr="00C53E9B">
        <w:rPr>
          <w:rFonts w:ascii="Calibri" w:eastAsia="Times New Roman" w:hAnsi="Calibri" w:cs="Times New Roman"/>
          <w:sz w:val="20"/>
          <w:lang w:val="fr-FR"/>
        </w:rPr>
        <w:t xml:space="preserve"> sur les unités intérieures (Option PPD). </w:t>
      </w:r>
      <w:r w:rsidRPr="00360476">
        <w:rPr>
          <w:rFonts w:ascii="Calibri" w:eastAsia="Times New Roman" w:hAnsi="Calibri" w:cs="Times New Roman"/>
          <w:i/>
          <w:iCs/>
          <w:sz w:val="20"/>
        </w:rPr>
        <w:t xml:space="preserve">Cette option doit </w:t>
      </w:r>
      <w:proofErr w:type="spellStart"/>
      <w:r w:rsidRPr="00360476">
        <w:rPr>
          <w:rFonts w:ascii="Calibri" w:eastAsia="Times New Roman" w:hAnsi="Calibri" w:cs="Times New Roman"/>
          <w:i/>
          <w:iCs/>
          <w:sz w:val="20"/>
        </w:rPr>
        <w:t>être</w:t>
      </w:r>
      <w:proofErr w:type="spellEnd"/>
      <w:r w:rsidRPr="00360476">
        <w:rPr>
          <w:rFonts w:ascii="Calibri" w:eastAsia="Times New Roman" w:hAnsi="Calibri" w:cs="Times New Roman"/>
          <w:i/>
          <w:iCs/>
          <w:sz w:val="20"/>
        </w:rPr>
        <w:t xml:space="preserve"> mise en œuvre pour que la variable 19 (puissance accumulée unité intérieure) soit disponible côté GTB.</w:t>
      </w:r>
    </w:p>
    <w:p w14:paraId="53FE8690" w14:textId="77777777" w:rsidR="00360476" w:rsidRDefault="00360476" w:rsidP="00360476">
      <w:pPr>
        <w:spacing w:after="0" w:line="240" w:lineRule="auto"/>
        <w:rPr>
          <w:rFonts w:ascii="Calibri" w:eastAsia="Times New Roman" w:hAnsi="Calibri" w:cs="Times New Roman"/>
          <w:i/>
          <w:iCs/>
          <w:sz w:val="20"/>
          <w:szCs w:val="24"/>
        </w:rPr>
      </w:pPr>
    </w:p>
    <w:p w14:paraId="2FB5D5C5" w14:textId="6EE0FC03" w:rsidR="00C64D15" w:rsidRPr="00F961C3" w:rsidRDefault="00C64D15" w:rsidP="00C64D15">
      <w:pPr>
        <w:spacing w:after="0" w:line="240" w:lineRule="auto"/>
        <w:jc w:val="both"/>
        <w:rPr>
          <w:rFonts w:ascii="Calibri" w:eastAsia="Times New Roman" w:hAnsi="Calibri" w:cs="Times New Roman"/>
          <w:sz w:val="20"/>
          <w:szCs w:val="24"/>
          <w:u w:val="single"/>
        </w:rPr>
      </w:pPr>
      <w:r w:rsidRPr="00F961C3">
        <w:rPr>
          <w:rFonts w:ascii="Calibri" w:eastAsia="Times New Roman" w:hAnsi="Calibri" w:cs="Times New Roman"/>
          <w:sz w:val="20"/>
          <w:szCs w:val="24"/>
          <w:u w:val="single"/>
        </w:rPr>
        <w:t>Schéma de principe :</w:t>
      </w:r>
    </w:p>
    <w:p w14:paraId="27CD132F" w14:textId="16E91D63" w:rsidR="00C64D15" w:rsidRPr="00C64D15" w:rsidRDefault="00C64D15" w:rsidP="00C64D15">
      <w:pPr>
        <w:spacing w:after="0" w:line="240" w:lineRule="auto"/>
        <w:jc w:val="center"/>
        <w:rPr>
          <w:rFonts w:ascii="Calibri" w:eastAsia="Times New Roman" w:hAnsi="Calibri" w:cs="Times New Roman"/>
          <w:sz w:val="20"/>
          <w:szCs w:val="24"/>
        </w:rPr>
      </w:pPr>
      <w:r w:rsidRPr="00C64D15">
        <w:rPr>
          <w:rFonts w:ascii="Calibri" w:eastAsia="Times New Roman" w:hAnsi="Calibri" w:cs="Times New Roman"/>
          <w:sz w:val="20"/>
          <w:szCs w:val="24"/>
        </w:rPr>
        <w:drawing>
          <wp:inline distT="0" distB="0" distL="0" distR="0" wp14:anchorId="08190C73" wp14:editId="52943196">
            <wp:extent cx="4253273" cy="2984601"/>
            <wp:effectExtent l="0" t="0" r="0" b="6350"/>
            <wp:docPr id="190" name="Image 189" descr="Une image contenant texte, capture d’écran, Appareils électroniques, écran&#10;&#10;Description générée automatiquement">
              <a:extLst xmlns:a="http://schemas.openxmlformats.org/drawingml/2006/main">
                <a:ext uri="{FF2B5EF4-FFF2-40B4-BE49-F238E27FC236}">
                  <a16:creationId xmlns:a16="http://schemas.microsoft.com/office/drawing/2014/main" id="{099F4D46-D184-57D4-C52D-5B5A32EFBC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 189" descr="Une image contenant texte, capture d’écran, Appareils électroniques, écran&#10;&#10;Description générée automatiquement">
                      <a:extLst>
                        <a:ext uri="{FF2B5EF4-FFF2-40B4-BE49-F238E27FC236}">
                          <a16:creationId xmlns:a16="http://schemas.microsoft.com/office/drawing/2014/main" id="{099F4D46-D184-57D4-C52D-5B5A32EFBC6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58439" cy="2988226"/>
                    </a:xfrm>
                    <a:prstGeom prst="rect">
                      <a:avLst/>
                    </a:prstGeom>
                  </pic:spPr>
                </pic:pic>
              </a:graphicData>
            </a:graphic>
          </wp:inline>
        </w:drawing>
      </w:r>
    </w:p>
    <w:p w14:paraId="3FFBC633" w14:textId="77777777" w:rsidR="00CD664E" w:rsidRDefault="00CD664E" w:rsidP="00CD664E">
      <w:pPr>
        <w:spacing w:after="0" w:line="240" w:lineRule="auto"/>
        <w:rPr>
          <w:rFonts w:ascii="Calibri" w:eastAsia="Times New Roman" w:hAnsi="Calibri" w:cs="Times New Roman"/>
          <w:sz w:val="20"/>
          <w:szCs w:val="24"/>
        </w:rPr>
      </w:pPr>
    </w:p>
    <w:p w14:paraId="12B48B42" w14:textId="1794BBF8" w:rsidR="00827A4B" w:rsidRDefault="00827A4B" w:rsidP="00C64D15">
      <w:pPr>
        <w:spacing w:after="0" w:line="240" w:lineRule="auto"/>
        <w:jc w:val="both"/>
        <w:rPr>
          <w:rFonts w:ascii="Calibri" w:eastAsia="Times New Roman" w:hAnsi="Calibri" w:cs="Times New Roman"/>
          <w:sz w:val="20"/>
          <w:szCs w:val="24"/>
        </w:rPr>
      </w:pPr>
      <w:r w:rsidRPr="00534DCE">
        <w:rPr>
          <w:rFonts w:ascii="Calibri" w:eastAsia="Times New Roman" w:hAnsi="Calibri" w:cs="Times New Roman"/>
          <w:sz w:val="20"/>
          <w:szCs w:val="24"/>
        </w:rPr>
        <w:t>La passerelle DMS502B51 n’a pas pour vocation de renvoyer les informations étant considérées comme service et permettant un diagnostic de l’installation, à ce titre seule l’information de retour de marche « Groupe extérieur » sera disponible au travers de la variable « Etat des compresseurs ».</w:t>
      </w:r>
    </w:p>
    <w:p w14:paraId="36FA9CEA" w14:textId="77777777" w:rsidR="00C64D15" w:rsidRPr="00534DCE" w:rsidRDefault="00C64D15" w:rsidP="00C64D15">
      <w:pPr>
        <w:spacing w:after="0" w:line="240" w:lineRule="auto"/>
        <w:jc w:val="both"/>
        <w:rPr>
          <w:rFonts w:ascii="Calibri" w:eastAsia="Times New Roman" w:hAnsi="Calibri" w:cs="Times New Roman"/>
          <w:sz w:val="20"/>
          <w:szCs w:val="24"/>
        </w:rPr>
      </w:pPr>
    </w:p>
    <w:p w14:paraId="334F0BE3" w14:textId="77777777" w:rsidR="00827A4B" w:rsidRPr="00534DCE" w:rsidRDefault="00827A4B" w:rsidP="00C64D15">
      <w:pPr>
        <w:spacing w:after="0" w:line="240" w:lineRule="auto"/>
        <w:jc w:val="both"/>
        <w:rPr>
          <w:rFonts w:ascii="Calibri" w:eastAsia="Times New Roman" w:hAnsi="Calibri" w:cs="Times New Roman"/>
          <w:sz w:val="20"/>
          <w:szCs w:val="24"/>
        </w:rPr>
      </w:pPr>
      <w:r w:rsidRPr="00534DCE">
        <w:rPr>
          <w:rFonts w:ascii="Calibri" w:eastAsia="Times New Roman" w:hAnsi="Calibri" w:cs="Times New Roman"/>
          <w:sz w:val="20"/>
          <w:szCs w:val="24"/>
        </w:rPr>
        <w:t>Les codes défauts associés au groupe extérieur sont de leur côté répercuté sur les unités intérieures du système concerné via la variable « Code d’anomalie »</w:t>
      </w:r>
    </w:p>
    <w:p w14:paraId="2DA084BA" w14:textId="77777777" w:rsidR="00C64D15" w:rsidRDefault="00C64D15" w:rsidP="00C64D15">
      <w:pPr>
        <w:spacing w:after="0" w:line="240" w:lineRule="auto"/>
        <w:jc w:val="both"/>
        <w:rPr>
          <w:rFonts w:ascii="Calibri" w:eastAsia="Times New Roman" w:hAnsi="Calibri" w:cs="Times New Roman"/>
          <w:sz w:val="20"/>
          <w:szCs w:val="24"/>
        </w:rPr>
      </w:pPr>
    </w:p>
    <w:p w14:paraId="7A87E40B" w14:textId="47629FFD" w:rsidR="00827A4B" w:rsidRDefault="00827A4B" w:rsidP="00C64D15">
      <w:pPr>
        <w:spacing w:after="0" w:line="240" w:lineRule="auto"/>
        <w:jc w:val="both"/>
        <w:rPr>
          <w:rFonts w:ascii="Calibri" w:eastAsia="Times New Roman" w:hAnsi="Calibri" w:cs="Times New Roman"/>
          <w:sz w:val="20"/>
          <w:szCs w:val="24"/>
        </w:rPr>
      </w:pPr>
      <w:r w:rsidRPr="00534DCE">
        <w:rPr>
          <w:rFonts w:ascii="Calibri" w:eastAsia="Times New Roman" w:hAnsi="Calibri" w:cs="Times New Roman"/>
          <w:sz w:val="20"/>
          <w:szCs w:val="24"/>
        </w:rPr>
        <w:t>La liste des informations reprises par la GTB figure dans le descriptif du lot concerné.</w:t>
      </w:r>
    </w:p>
    <w:p w14:paraId="542CEE93" w14:textId="77777777" w:rsidR="00C64D15" w:rsidRDefault="00C64D15" w:rsidP="00C64D15">
      <w:pPr>
        <w:spacing w:after="0" w:line="240" w:lineRule="auto"/>
        <w:rPr>
          <w:rFonts w:ascii="Calibri" w:eastAsia="Times New Roman" w:hAnsi="Calibri" w:cs="Times New Roman"/>
          <w:sz w:val="20"/>
          <w:szCs w:val="24"/>
        </w:rPr>
      </w:pPr>
    </w:p>
    <w:p w14:paraId="40D71F47" w14:textId="0AC2AA7A" w:rsidR="00827A4B" w:rsidRPr="00534DCE" w:rsidRDefault="00827A4B" w:rsidP="00C64D15">
      <w:pPr>
        <w:spacing w:after="0" w:line="240" w:lineRule="auto"/>
        <w:rPr>
          <w:rFonts w:ascii="Calibri" w:eastAsia="Times New Roman" w:hAnsi="Calibri" w:cs="Times New Roman"/>
          <w:sz w:val="20"/>
          <w:szCs w:val="24"/>
        </w:rPr>
      </w:pPr>
      <w:r w:rsidRPr="00534DCE">
        <w:rPr>
          <w:rFonts w:ascii="Calibri" w:eastAsia="Times New Roman" w:hAnsi="Calibri" w:cs="Times New Roman"/>
          <w:sz w:val="20"/>
          <w:szCs w:val="24"/>
        </w:rPr>
        <w:t>Spécifications</w:t>
      </w:r>
      <w:r w:rsidR="00C64D15">
        <w:rPr>
          <w:rFonts w:ascii="Calibri" w:eastAsia="Times New Roman" w:hAnsi="Calibri" w:cs="Times New Roman"/>
          <w:sz w:val="20"/>
          <w:szCs w:val="24"/>
        </w:rPr>
        <w:t xml:space="preserve"> de la fonction</w:t>
      </w:r>
      <w:r w:rsidRPr="00534DCE">
        <w:rPr>
          <w:rFonts w:ascii="Calibri" w:eastAsia="Times New Roman" w:hAnsi="Calibri" w:cs="Times New Roman"/>
          <w:sz w:val="20"/>
          <w:szCs w:val="24"/>
        </w:rPr>
        <w:t xml:space="preserve"> PPD : </w:t>
      </w:r>
    </w:p>
    <w:p w14:paraId="17D7B060" w14:textId="6912AECF" w:rsidR="00827A4B" w:rsidRPr="00C64D15" w:rsidRDefault="00827A4B" w:rsidP="00C64D15">
      <w:pPr>
        <w:pStyle w:val="Paragraphedeliste"/>
        <w:numPr>
          <w:ilvl w:val="0"/>
          <w:numId w:val="3"/>
        </w:numPr>
        <w:spacing w:after="0" w:line="240" w:lineRule="auto"/>
        <w:rPr>
          <w:rFonts w:ascii="Calibri" w:eastAsia="Times New Roman" w:hAnsi="Calibri" w:cs="Times New Roman"/>
          <w:sz w:val="20"/>
        </w:rPr>
      </w:pPr>
      <w:r w:rsidRPr="00C64D15">
        <w:rPr>
          <w:rFonts w:ascii="Calibri" w:eastAsia="Times New Roman" w:hAnsi="Calibri" w:cs="Times New Roman"/>
          <w:sz w:val="20"/>
        </w:rPr>
        <w:t>Le contact de renvoi d’impulsion doit être un contact sec. L’impulsion doit être d’une valeur de 1 kWh uniquement et d’une durée comprise entre 40 et 400 ms (millisecondes) !!!</w:t>
      </w:r>
    </w:p>
    <w:p w14:paraId="1D13046A" w14:textId="77777777" w:rsidR="00C64D15" w:rsidRPr="00C64D15" w:rsidRDefault="00827A4B" w:rsidP="00C64D15">
      <w:pPr>
        <w:pStyle w:val="Paragraphedeliste"/>
        <w:numPr>
          <w:ilvl w:val="0"/>
          <w:numId w:val="3"/>
        </w:numPr>
        <w:spacing w:after="0" w:line="240" w:lineRule="auto"/>
        <w:rPr>
          <w:rFonts w:ascii="Calibri" w:eastAsia="Times New Roman" w:hAnsi="Calibri" w:cs="Times New Roman"/>
          <w:sz w:val="20"/>
        </w:rPr>
      </w:pPr>
      <w:r w:rsidRPr="00C64D15">
        <w:rPr>
          <w:rFonts w:ascii="Calibri" w:eastAsia="Times New Roman" w:hAnsi="Calibri" w:cs="Times New Roman"/>
          <w:sz w:val="20"/>
        </w:rPr>
        <w:t>Le câble entre le compteur et la passerelle doit être un 2x 0.75 multibrins (Type LiYCY). La longueur du câble ne peut excéder 100m et doit être séparé de tout câbles de puissances (Aucunes interférences ne sont admises)</w:t>
      </w:r>
    </w:p>
    <w:p w14:paraId="40A0A3CC" w14:textId="2BA61226" w:rsidR="00827A4B" w:rsidRPr="00C64D15" w:rsidRDefault="00827A4B" w:rsidP="00C64D15">
      <w:pPr>
        <w:pStyle w:val="Paragraphedeliste"/>
        <w:numPr>
          <w:ilvl w:val="0"/>
          <w:numId w:val="3"/>
        </w:numPr>
        <w:spacing w:after="0" w:line="240" w:lineRule="auto"/>
        <w:rPr>
          <w:rFonts w:ascii="Calibri" w:eastAsia="Times New Roman" w:hAnsi="Calibri" w:cs="Times New Roman"/>
          <w:sz w:val="20"/>
        </w:rPr>
      </w:pPr>
      <w:r w:rsidRPr="00C64D15">
        <w:rPr>
          <w:rFonts w:ascii="Calibri" w:eastAsia="Times New Roman" w:hAnsi="Calibri" w:cs="Times New Roman"/>
          <w:sz w:val="20"/>
        </w:rPr>
        <w:t>Ne pas connecter des VRV de type différents (Réversible – Récupération d’énergie) sur un même compteur.</w:t>
      </w:r>
    </w:p>
    <w:p w14:paraId="6DB892C3" w14:textId="77777777" w:rsidR="00827A4B" w:rsidRPr="00C64D15" w:rsidRDefault="00827A4B" w:rsidP="00C64D15">
      <w:pPr>
        <w:pStyle w:val="Paragraphedeliste"/>
        <w:numPr>
          <w:ilvl w:val="0"/>
          <w:numId w:val="3"/>
        </w:numPr>
        <w:spacing w:after="0" w:line="240" w:lineRule="auto"/>
        <w:rPr>
          <w:rFonts w:ascii="Calibri" w:eastAsia="Times New Roman" w:hAnsi="Calibri" w:cs="Times New Roman"/>
          <w:sz w:val="20"/>
        </w:rPr>
      </w:pPr>
      <w:r w:rsidRPr="00C64D15">
        <w:rPr>
          <w:rFonts w:ascii="Calibri" w:eastAsia="Times New Roman" w:hAnsi="Calibri" w:cs="Times New Roman"/>
          <w:sz w:val="20"/>
        </w:rPr>
        <w:t>Ne pas connecter des VRV de séries différentes (VRV série K - VRV Série L - VRV série M – VRV série P) sur un même compteur.</w:t>
      </w:r>
    </w:p>
    <w:p w14:paraId="5CE331E2" w14:textId="77777777" w:rsidR="00827A4B" w:rsidRPr="00C64D15" w:rsidRDefault="00827A4B" w:rsidP="00C64D15">
      <w:pPr>
        <w:pStyle w:val="Paragraphedeliste"/>
        <w:numPr>
          <w:ilvl w:val="0"/>
          <w:numId w:val="3"/>
        </w:numPr>
        <w:spacing w:after="0" w:line="240" w:lineRule="auto"/>
        <w:rPr>
          <w:rFonts w:ascii="Calibri" w:eastAsia="Times New Roman" w:hAnsi="Calibri" w:cs="Times New Roman"/>
          <w:sz w:val="20"/>
        </w:rPr>
      </w:pPr>
      <w:r w:rsidRPr="00C64D15">
        <w:rPr>
          <w:rFonts w:ascii="Calibri" w:eastAsia="Times New Roman" w:hAnsi="Calibri" w:cs="Times New Roman"/>
          <w:sz w:val="20"/>
        </w:rPr>
        <w:t>Ne pas connecter des VRV avec d’autres produits (Sky-Air) sur un même compteur.</w:t>
      </w:r>
    </w:p>
    <w:p w14:paraId="12FD8C70" w14:textId="77777777" w:rsidR="00827A4B" w:rsidRPr="00C64D15" w:rsidRDefault="00827A4B" w:rsidP="00C64D15">
      <w:pPr>
        <w:pStyle w:val="Paragraphedeliste"/>
        <w:numPr>
          <w:ilvl w:val="0"/>
          <w:numId w:val="3"/>
        </w:numPr>
        <w:spacing w:after="0" w:line="240" w:lineRule="auto"/>
        <w:rPr>
          <w:rFonts w:ascii="Calibri" w:eastAsia="Times New Roman" w:hAnsi="Calibri" w:cs="Times New Roman"/>
          <w:sz w:val="20"/>
        </w:rPr>
      </w:pPr>
      <w:r w:rsidRPr="00C64D15">
        <w:rPr>
          <w:rFonts w:ascii="Calibri" w:eastAsia="Times New Roman" w:hAnsi="Calibri" w:cs="Times New Roman"/>
          <w:sz w:val="20"/>
        </w:rPr>
        <w:t>Les unités Split ne peuvent pas être connectées au comptage d’énergie par répartition (PPD)</w:t>
      </w:r>
    </w:p>
    <w:p w14:paraId="2401564B" w14:textId="77777777" w:rsidR="00827A4B" w:rsidRPr="00C64D15" w:rsidRDefault="00827A4B" w:rsidP="00C64D15">
      <w:pPr>
        <w:pStyle w:val="Paragraphedeliste"/>
        <w:numPr>
          <w:ilvl w:val="0"/>
          <w:numId w:val="3"/>
        </w:numPr>
        <w:spacing w:after="0" w:line="240" w:lineRule="auto"/>
        <w:rPr>
          <w:rFonts w:ascii="Calibri" w:eastAsia="Times New Roman" w:hAnsi="Calibri" w:cs="Times New Roman"/>
          <w:sz w:val="20"/>
        </w:rPr>
      </w:pPr>
      <w:r w:rsidRPr="00C64D15">
        <w:rPr>
          <w:rFonts w:ascii="Calibri" w:eastAsia="Times New Roman" w:hAnsi="Calibri" w:cs="Times New Roman"/>
          <w:sz w:val="20"/>
        </w:rPr>
        <w:t>Un maximum de 10 groupes ou 100Cv par compteur (attention un groupe jumelé compte pour 1 seul groupe).</w:t>
      </w:r>
    </w:p>
    <w:p w14:paraId="3434AA49" w14:textId="7E7A9782" w:rsidR="009E126E" w:rsidRPr="00C64D15" w:rsidRDefault="00827A4B" w:rsidP="00C64D15">
      <w:pPr>
        <w:pStyle w:val="Paragraphedeliste"/>
        <w:numPr>
          <w:ilvl w:val="0"/>
          <w:numId w:val="3"/>
        </w:numPr>
        <w:spacing w:after="0" w:line="240" w:lineRule="auto"/>
        <w:rPr>
          <w:rFonts w:ascii="Calibri" w:eastAsia="Times New Roman" w:hAnsi="Calibri" w:cs="Times New Roman"/>
          <w:sz w:val="20"/>
          <w:lang w:val="fr-FR"/>
        </w:rPr>
      </w:pPr>
      <w:r w:rsidRPr="00C64D15">
        <w:rPr>
          <w:rFonts w:ascii="Calibri" w:eastAsia="Times New Roman" w:hAnsi="Calibri" w:cs="Times New Roman"/>
          <w:sz w:val="20"/>
          <w:lang w:val="fr-FR"/>
        </w:rPr>
        <w:t>Le compteur doit être correctement configuré lors de l’utilisation de transformateurs d’intensités.</w:t>
      </w:r>
    </w:p>
    <w:p w14:paraId="0603AF3F" w14:textId="77777777" w:rsidR="00C64D15" w:rsidRDefault="00C64D15" w:rsidP="00C64D15">
      <w:pPr>
        <w:spacing w:after="0" w:line="240" w:lineRule="auto"/>
        <w:rPr>
          <w:rFonts w:ascii="Calibri" w:eastAsia="Times New Roman" w:hAnsi="Calibri" w:cs="Times New Roman"/>
          <w:sz w:val="20"/>
        </w:rPr>
      </w:pPr>
    </w:p>
    <w:p w14:paraId="2C0DD2F4" w14:textId="77777777" w:rsidR="00C64D15" w:rsidRDefault="00C64D15" w:rsidP="00C64D15">
      <w:pPr>
        <w:spacing w:after="0" w:line="240" w:lineRule="auto"/>
        <w:jc w:val="both"/>
        <w:rPr>
          <w:rFonts w:ascii="Calibri" w:eastAsia="Times New Roman" w:hAnsi="Calibri" w:cs="Times New Roman"/>
          <w:sz w:val="20"/>
          <w:szCs w:val="24"/>
        </w:rPr>
      </w:pPr>
      <w:r>
        <w:rPr>
          <w:rFonts w:ascii="Calibri" w:eastAsia="Times New Roman" w:hAnsi="Calibri" w:cs="Times New Roman"/>
          <w:sz w:val="20"/>
          <w:szCs w:val="24"/>
        </w:rPr>
        <w:t xml:space="preserve">La mise en service de la passerelle sera réalisée par le fabricant et un </w:t>
      </w:r>
      <w:r w:rsidRPr="00534DCE">
        <w:rPr>
          <w:rFonts w:ascii="Calibri" w:eastAsia="Times New Roman" w:hAnsi="Calibri" w:cs="Times New Roman"/>
          <w:sz w:val="20"/>
          <w:szCs w:val="24"/>
        </w:rPr>
        <w:t xml:space="preserve">test de communication </w:t>
      </w:r>
      <w:r>
        <w:rPr>
          <w:rFonts w:ascii="Calibri" w:eastAsia="Times New Roman" w:hAnsi="Calibri" w:cs="Times New Roman"/>
          <w:sz w:val="20"/>
          <w:szCs w:val="24"/>
        </w:rPr>
        <w:t>avec la GTB pourra</w:t>
      </w:r>
      <w:r w:rsidRPr="00534DCE">
        <w:rPr>
          <w:rFonts w:ascii="Calibri" w:eastAsia="Times New Roman" w:hAnsi="Calibri" w:cs="Times New Roman"/>
          <w:sz w:val="20"/>
          <w:szCs w:val="24"/>
        </w:rPr>
        <w:t xml:space="preserve"> être réalisé sur demande.</w:t>
      </w:r>
    </w:p>
    <w:p w14:paraId="6FC9CEC2" w14:textId="77777777" w:rsidR="00C64D15" w:rsidRPr="00C64D15" w:rsidRDefault="00C64D15" w:rsidP="00C64D15">
      <w:pPr>
        <w:spacing w:after="0" w:line="240" w:lineRule="auto"/>
        <w:rPr>
          <w:rFonts w:ascii="Calibri" w:eastAsia="Times New Roman" w:hAnsi="Calibri" w:cs="Times New Roman"/>
          <w:sz w:val="20"/>
        </w:rPr>
      </w:pPr>
    </w:p>
    <w:sectPr w:rsidR="00C64D15" w:rsidRPr="00C64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DDA4" w14:textId="77777777" w:rsidR="008D2CCB" w:rsidRDefault="008D2CCB" w:rsidP="00EF34AC">
      <w:pPr>
        <w:spacing w:after="0" w:line="240" w:lineRule="auto"/>
      </w:pPr>
      <w:r>
        <w:separator/>
      </w:r>
    </w:p>
  </w:endnote>
  <w:endnote w:type="continuationSeparator" w:id="0">
    <w:p w14:paraId="23BDCDF5" w14:textId="77777777" w:rsidR="008D2CCB" w:rsidRDefault="008D2CCB" w:rsidP="00EF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22F9" w14:textId="77777777" w:rsidR="008D2CCB" w:rsidRDefault="008D2CCB" w:rsidP="00EF34AC">
      <w:pPr>
        <w:spacing w:after="0" w:line="240" w:lineRule="auto"/>
      </w:pPr>
      <w:r>
        <w:separator/>
      </w:r>
    </w:p>
  </w:footnote>
  <w:footnote w:type="continuationSeparator" w:id="0">
    <w:p w14:paraId="66F14B7A" w14:textId="77777777" w:rsidR="008D2CCB" w:rsidRDefault="008D2CCB" w:rsidP="00EF3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93A"/>
    <w:multiLevelType w:val="hybridMultilevel"/>
    <w:tmpl w:val="444A1ED4"/>
    <w:lvl w:ilvl="0" w:tplc="8F8C9A12">
      <w:start w:val="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CB6D58"/>
    <w:multiLevelType w:val="hybridMultilevel"/>
    <w:tmpl w:val="1BFA9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5A457E"/>
    <w:multiLevelType w:val="hybridMultilevel"/>
    <w:tmpl w:val="536E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569538">
    <w:abstractNumId w:val="0"/>
  </w:num>
  <w:num w:numId="2" w16cid:durableId="715202142">
    <w:abstractNumId w:val="1"/>
  </w:num>
  <w:num w:numId="3" w16cid:durableId="1808012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BF"/>
    <w:rsid w:val="000C53ED"/>
    <w:rsid w:val="0024068F"/>
    <w:rsid w:val="00266016"/>
    <w:rsid w:val="00277E2D"/>
    <w:rsid w:val="00360476"/>
    <w:rsid w:val="004B5D91"/>
    <w:rsid w:val="004C34BB"/>
    <w:rsid w:val="00534DCE"/>
    <w:rsid w:val="005B407E"/>
    <w:rsid w:val="00684079"/>
    <w:rsid w:val="00755710"/>
    <w:rsid w:val="00827A4B"/>
    <w:rsid w:val="008D2CCB"/>
    <w:rsid w:val="009D19D8"/>
    <w:rsid w:val="009E126E"/>
    <w:rsid w:val="00A513BF"/>
    <w:rsid w:val="00A805AD"/>
    <w:rsid w:val="00BF04D2"/>
    <w:rsid w:val="00C53E9B"/>
    <w:rsid w:val="00C64D15"/>
    <w:rsid w:val="00CC510F"/>
    <w:rsid w:val="00CD664E"/>
    <w:rsid w:val="00EF34AC"/>
    <w:rsid w:val="00F961C3"/>
    <w:rsid w:val="00FB7C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C94AF"/>
  <w15:chartTrackingRefBased/>
  <w15:docId w15:val="{59EE0472-1415-44BE-AD39-081AC3E4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3BF"/>
    <w:pPr>
      <w:spacing w:after="200" w:line="276" w:lineRule="auto"/>
    </w:pPr>
    <w:rPr>
      <w:kern w:val="0"/>
      <w:sz w:val="22"/>
      <w:szCs w:val="22"/>
      <w:lang w:val="fr-FR"/>
      <w14:ligatures w14:val="none"/>
    </w:rPr>
  </w:style>
  <w:style w:type="paragraph" w:styleId="Titre1">
    <w:name w:val="heading 1"/>
    <w:basedOn w:val="Normal"/>
    <w:next w:val="Normal"/>
    <w:link w:val="Titre1Car"/>
    <w:uiPriority w:val="9"/>
    <w:qFormat/>
    <w:rsid w:val="00A513B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Titre2">
    <w:name w:val="heading 2"/>
    <w:basedOn w:val="Normal"/>
    <w:next w:val="Normal"/>
    <w:link w:val="Titre2Car"/>
    <w:uiPriority w:val="9"/>
    <w:semiHidden/>
    <w:unhideWhenUsed/>
    <w:qFormat/>
    <w:rsid w:val="00A513B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Titre3">
    <w:name w:val="heading 3"/>
    <w:basedOn w:val="Normal"/>
    <w:next w:val="Normal"/>
    <w:link w:val="Titre3Car"/>
    <w:uiPriority w:val="9"/>
    <w:semiHidden/>
    <w:unhideWhenUsed/>
    <w:qFormat/>
    <w:rsid w:val="00A513BF"/>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Titre4">
    <w:name w:val="heading 4"/>
    <w:basedOn w:val="Normal"/>
    <w:next w:val="Normal"/>
    <w:link w:val="Titre4Car"/>
    <w:uiPriority w:val="9"/>
    <w:semiHidden/>
    <w:unhideWhenUsed/>
    <w:qFormat/>
    <w:rsid w:val="00A513BF"/>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Titre5">
    <w:name w:val="heading 5"/>
    <w:basedOn w:val="Normal"/>
    <w:next w:val="Normal"/>
    <w:link w:val="Titre5Car"/>
    <w:uiPriority w:val="9"/>
    <w:semiHidden/>
    <w:unhideWhenUsed/>
    <w:qFormat/>
    <w:rsid w:val="00A513BF"/>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Titre6">
    <w:name w:val="heading 6"/>
    <w:basedOn w:val="Normal"/>
    <w:next w:val="Normal"/>
    <w:link w:val="Titre6Car"/>
    <w:uiPriority w:val="9"/>
    <w:semiHidden/>
    <w:unhideWhenUsed/>
    <w:qFormat/>
    <w:rsid w:val="00A513BF"/>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Titre7">
    <w:name w:val="heading 7"/>
    <w:basedOn w:val="Normal"/>
    <w:next w:val="Normal"/>
    <w:link w:val="Titre7Car"/>
    <w:uiPriority w:val="9"/>
    <w:semiHidden/>
    <w:unhideWhenUsed/>
    <w:qFormat/>
    <w:rsid w:val="00A513BF"/>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Titre8">
    <w:name w:val="heading 8"/>
    <w:basedOn w:val="Normal"/>
    <w:next w:val="Normal"/>
    <w:link w:val="Titre8Car"/>
    <w:uiPriority w:val="9"/>
    <w:semiHidden/>
    <w:unhideWhenUsed/>
    <w:qFormat/>
    <w:rsid w:val="00A513BF"/>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Titre9">
    <w:name w:val="heading 9"/>
    <w:basedOn w:val="Normal"/>
    <w:next w:val="Normal"/>
    <w:link w:val="Titre9Car"/>
    <w:uiPriority w:val="9"/>
    <w:semiHidden/>
    <w:unhideWhenUsed/>
    <w:qFormat/>
    <w:rsid w:val="00A513BF"/>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13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13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13B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13B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13B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13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13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13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13BF"/>
    <w:rPr>
      <w:rFonts w:eastAsiaTheme="majorEastAsia" w:cstheme="majorBidi"/>
      <w:color w:val="272727" w:themeColor="text1" w:themeTint="D8"/>
    </w:rPr>
  </w:style>
  <w:style w:type="paragraph" w:styleId="Titre">
    <w:name w:val="Title"/>
    <w:basedOn w:val="Normal"/>
    <w:next w:val="Normal"/>
    <w:link w:val="TitreCar"/>
    <w:uiPriority w:val="10"/>
    <w:qFormat/>
    <w:rsid w:val="00A513BF"/>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reCar">
    <w:name w:val="Titre Car"/>
    <w:basedOn w:val="Policepardfaut"/>
    <w:link w:val="Titre"/>
    <w:uiPriority w:val="10"/>
    <w:rsid w:val="00A513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13BF"/>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ous-titreCar">
    <w:name w:val="Sous-titre Car"/>
    <w:basedOn w:val="Policepardfaut"/>
    <w:link w:val="Sous-titre"/>
    <w:uiPriority w:val="11"/>
    <w:rsid w:val="00A513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13BF"/>
    <w:pPr>
      <w:spacing w:before="160" w:after="160" w:line="278" w:lineRule="auto"/>
      <w:jc w:val="center"/>
    </w:pPr>
    <w:rPr>
      <w:i/>
      <w:iCs/>
      <w:color w:val="404040" w:themeColor="text1" w:themeTint="BF"/>
      <w:kern w:val="2"/>
      <w:sz w:val="24"/>
      <w:szCs w:val="24"/>
      <w:lang w:val="en-GB"/>
      <w14:ligatures w14:val="standardContextual"/>
    </w:rPr>
  </w:style>
  <w:style w:type="character" w:customStyle="1" w:styleId="CitationCar">
    <w:name w:val="Citation Car"/>
    <w:basedOn w:val="Policepardfaut"/>
    <w:link w:val="Citation"/>
    <w:uiPriority w:val="29"/>
    <w:rsid w:val="00A513BF"/>
    <w:rPr>
      <w:i/>
      <w:iCs/>
      <w:color w:val="404040" w:themeColor="text1" w:themeTint="BF"/>
    </w:rPr>
  </w:style>
  <w:style w:type="paragraph" w:styleId="Paragraphedeliste">
    <w:name w:val="List Paragraph"/>
    <w:basedOn w:val="Normal"/>
    <w:uiPriority w:val="34"/>
    <w:qFormat/>
    <w:rsid w:val="00A513BF"/>
    <w:pPr>
      <w:spacing w:after="160" w:line="278" w:lineRule="auto"/>
      <w:ind w:left="720"/>
      <w:contextualSpacing/>
    </w:pPr>
    <w:rPr>
      <w:kern w:val="2"/>
      <w:sz w:val="24"/>
      <w:szCs w:val="24"/>
      <w:lang w:val="en-GB"/>
      <w14:ligatures w14:val="standardContextual"/>
    </w:rPr>
  </w:style>
  <w:style w:type="character" w:styleId="Accentuationintense">
    <w:name w:val="Intense Emphasis"/>
    <w:basedOn w:val="Policepardfaut"/>
    <w:uiPriority w:val="21"/>
    <w:qFormat/>
    <w:rsid w:val="00A513BF"/>
    <w:rPr>
      <w:i/>
      <w:iCs/>
      <w:color w:val="0F4761" w:themeColor="accent1" w:themeShade="BF"/>
    </w:rPr>
  </w:style>
  <w:style w:type="paragraph" w:styleId="Citationintense">
    <w:name w:val="Intense Quote"/>
    <w:basedOn w:val="Normal"/>
    <w:next w:val="Normal"/>
    <w:link w:val="CitationintenseCar"/>
    <w:uiPriority w:val="30"/>
    <w:qFormat/>
    <w:rsid w:val="00A513B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CitationintenseCar">
    <w:name w:val="Citation intense Car"/>
    <w:basedOn w:val="Policepardfaut"/>
    <w:link w:val="Citationintense"/>
    <w:uiPriority w:val="30"/>
    <w:rsid w:val="00A513BF"/>
    <w:rPr>
      <w:i/>
      <w:iCs/>
      <w:color w:val="0F4761" w:themeColor="accent1" w:themeShade="BF"/>
    </w:rPr>
  </w:style>
  <w:style w:type="character" w:styleId="Rfrenceintense">
    <w:name w:val="Intense Reference"/>
    <w:basedOn w:val="Policepardfaut"/>
    <w:uiPriority w:val="32"/>
    <w:qFormat/>
    <w:rsid w:val="00A513BF"/>
    <w:rPr>
      <w:b/>
      <w:bCs/>
      <w:smallCaps/>
      <w:color w:val="0F4761" w:themeColor="accent1" w:themeShade="BF"/>
      <w:spacing w:val="5"/>
    </w:rPr>
  </w:style>
  <w:style w:type="paragraph" w:styleId="En-tte">
    <w:name w:val="header"/>
    <w:basedOn w:val="Normal"/>
    <w:link w:val="En-tteCar"/>
    <w:uiPriority w:val="99"/>
    <w:unhideWhenUsed/>
    <w:rsid w:val="00EF34AC"/>
    <w:pPr>
      <w:tabs>
        <w:tab w:val="center" w:pos="4536"/>
        <w:tab w:val="right" w:pos="9072"/>
      </w:tabs>
      <w:spacing w:after="0" w:line="240" w:lineRule="auto"/>
    </w:pPr>
  </w:style>
  <w:style w:type="character" w:customStyle="1" w:styleId="En-tteCar">
    <w:name w:val="En-tête Car"/>
    <w:basedOn w:val="Policepardfaut"/>
    <w:link w:val="En-tte"/>
    <w:uiPriority w:val="99"/>
    <w:rsid w:val="00EF34AC"/>
    <w:rPr>
      <w:kern w:val="0"/>
      <w:sz w:val="22"/>
      <w:szCs w:val="22"/>
      <w:lang w:val="fr-FR"/>
      <w14:ligatures w14:val="none"/>
    </w:rPr>
  </w:style>
  <w:style w:type="paragraph" w:styleId="Pieddepage">
    <w:name w:val="footer"/>
    <w:basedOn w:val="Normal"/>
    <w:link w:val="PieddepageCar"/>
    <w:uiPriority w:val="99"/>
    <w:unhideWhenUsed/>
    <w:rsid w:val="00EF34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34AC"/>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416</Words>
  <Characters>2376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Wyzgolik</dc:creator>
  <cp:keywords/>
  <dc:description/>
  <cp:lastModifiedBy>Alexandre Clermonte</cp:lastModifiedBy>
  <cp:revision>17</cp:revision>
  <dcterms:created xsi:type="dcterms:W3CDTF">2025-01-06T14:44:00Z</dcterms:created>
  <dcterms:modified xsi:type="dcterms:W3CDTF">2025-02-21T13:12:00Z</dcterms:modified>
</cp:coreProperties>
</file>