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1011" w14:textId="77777777" w:rsidR="00E06C81" w:rsidRPr="00E06C81" w:rsidRDefault="00E06C81" w:rsidP="00E06C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6C81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Kit de raccordement de CTA sur le système VRV</w:t>
      </w:r>
    </w:p>
    <w:p w14:paraId="31541FFD" w14:textId="77777777" w:rsidR="00E06C81" w:rsidRPr="00E06C81" w:rsidRDefault="00E06C81" w:rsidP="00E06C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035BEF27" w14:textId="35BC72C6" w:rsidR="00E06C81" w:rsidRPr="00E06C81" w:rsidRDefault="00E06C81" w:rsidP="00E06C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Le traitement d'air neuf se fera par le système VRV associé à une centrale de traitement d'air équipée d'une batterie à détente directe au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R32 (ou </w:t>
      </w: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R410A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)</w:t>
      </w: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, permettant le rafraîchissement et le chauffage de l'air hygiénique amené dans les locaux.</w:t>
      </w:r>
    </w:p>
    <w:p w14:paraId="78F24E28" w14:textId="77777777" w:rsidR="00E06C81" w:rsidRPr="00E06C81" w:rsidRDefault="00E06C81" w:rsidP="00E06C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L'installation complémentaire sera composée des éléments suivants faisant l'objet d'un descriptif détaillé ci-dessous:</w:t>
      </w:r>
    </w:p>
    <w:p w14:paraId="02AD4E12" w14:textId="2EFA6C3E" w:rsidR="00E06C81" w:rsidRPr="00E06C81" w:rsidRDefault="00E06C81" w:rsidP="00E06C81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6C81"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  <w:t>·</w:t>
      </w:r>
      <w:r w:rsidRPr="00E06C81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</w:t>
      </w: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Centrale de traitement d'air équipée d'une batterie à détente directe au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R32 ou</w:t>
      </w: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R410A.</w:t>
      </w:r>
    </w:p>
    <w:p w14:paraId="4D98ADA1" w14:textId="77777777" w:rsidR="00E06C81" w:rsidRPr="00E06C81" w:rsidRDefault="00E06C81" w:rsidP="00E06C81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6C81"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  <w:t>·</w:t>
      </w:r>
      <w:r w:rsidRPr="00E06C81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</w:t>
      </w: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Kit de boitier détendeurs</w:t>
      </w:r>
    </w:p>
    <w:p w14:paraId="1996F247" w14:textId="1A595254" w:rsidR="00E06C81" w:rsidRPr="00E06C81" w:rsidRDefault="00E06C81" w:rsidP="00E06C81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6C81"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  <w:t>·</w:t>
      </w:r>
      <w:r w:rsidRPr="00E06C81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</w:t>
      </w: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Boîtier de contrôle permettant, selon le choix, une régulation selon divers paramètres de température: soufflage, mélange , reprise, évaporation</w:t>
      </w:r>
    </w:p>
    <w:p w14:paraId="24D15F27" w14:textId="411694DA" w:rsidR="0050298E" w:rsidRPr="00E06C81" w:rsidRDefault="0050298E" w:rsidP="0050298E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  <w:color w:val="000000"/>
          <w:lang w:val="fr-FR"/>
        </w:rPr>
      </w:pPr>
      <w:r w:rsidRPr="0050298E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Kit boîtier détendeur</w:t>
      </w:r>
    </w:p>
    <w:p w14:paraId="0F3C2E57" w14:textId="77777777" w:rsidR="0050298E" w:rsidRPr="0050298E" w:rsidRDefault="0050298E" w:rsidP="0050298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La sélection du kit de boîtiers détendeurs se fera selon les caractéristiques de l'échangeur de la centrale de traitement d'air.</w:t>
      </w: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Il est conçu pour être installé à l'intérieur ou à l'extérieur et peut être fixé sur un mur.</w:t>
      </w:r>
    </w:p>
    <w:p w14:paraId="12CA8AE9" w14:textId="77777777" w:rsidR="0050298E" w:rsidRPr="0050298E" w:rsidRDefault="0050298E" w:rsidP="0050298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701"/>
      </w:tblGrid>
      <w:tr w:rsidR="0050298E" w:rsidRPr="0050298E" w14:paraId="4D248391" w14:textId="77777777" w:rsidTr="0050298E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FD52C" w14:textId="77777777" w:rsidR="0050298E" w:rsidRPr="0050298E" w:rsidRDefault="0050298E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Référence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E1F298" w14:textId="2DECECAD" w:rsidR="0050298E" w:rsidRPr="0050298E" w:rsidRDefault="0050298E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EKEXV</w:t>
            </w:r>
            <w:r w:rsidR="002844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A</w:t>
            </w:r>
            <w:r w:rsidRPr="005029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 xml:space="preserve"> 50-500</w:t>
            </w:r>
          </w:p>
        </w:tc>
      </w:tr>
      <w:tr w:rsidR="0050298E" w:rsidRPr="0050298E" w14:paraId="6C15569D" w14:textId="77777777" w:rsidTr="0050298E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D81D0F" w14:textId="77777777" w:rsidR="0050298E" w:rsidRPr="0050298E" w:rsidRDefault="0050298E" w:rsidP="0050298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Puissance Echangeur de chaleur (kW)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DF7195" w14:textId="77777777" w:rsidR="0050298E" w:rsidRPr="0050298E" w:rsidRDefault="0050298E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5 à 61</w:t>
            </w:r>
          </w:p>
        </w:tc>
      </w:tr>
      <w:tr w:rsidR="0050298E" w:rsidRPr="0050298E" w14:paraId="04139D24" w14:textId="77777777" w:rsidTr="0050298E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A8BE0C" w14:textId="77777777" w:rsidR="0050298E" w:rsidRPr="0050298E" w:rsidRDefault="0050298E" w:rsidP="0050298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Encombrement HxLxP (mm)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8F9353" w14:textId="77777777" w:rsidR="0050298E" w:rsidRPr="0050298E" w:rsidRDefault="0050298E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401 x 215 x 78</w:t>
            </w:r>
          </w:p>
        </w:tc>
      </w:tr>
      <w:tr w:rsidR="0050298E" w:rsidRPr="0050298E" w14:paraId="2C311AD4" w14:textId="77777777" w:rsidTr="0050298E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801437" w14:textId="77777777" w:rsidR="0050298E" w:rsidRPr="0050298E" w:rsidRDefault="0050298E" w:rsidP="0050298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Poids de l’unité (kg)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946D46" w14:textId="77777777" w:rsidR="0050298E" w:rsidRPr="0050298E" w:rsidRDefault="0050298E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2,9</w:t>
            </w:r>
          </w:p>
        </w:tc>
      </w:tr>
      <w:tr w:rsidR="006B03D4" w:rsidRPr="0050298E" w14:paraId="5C650B9A" w14:textId="77777777" w:rsidTr="0050298E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D8D66D" w14:textId="551F625A" w:rsidR="006B03D4" w:rsidRPr="0050298E" w:rsidRDefault="006B03D4" w:rsidP="005029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Fluide frigorigène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A70485" w14:textId="1D6F5C49" w:rsidR="006B03D4" w:rsidRPr="0050298E" w:rsidRDefault="006B03D4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R32 ou R410A</w:t>
            </w:r>
          </w:p>
        </w:tc>
      </w:tr>
      <w:tr w:rsidR="0050298E" w:rsidRPr="0050298E" w14:paraId="734F3228" w14:textId="77777777" w:rsidTr="0050298E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DF0F5A" w14:textId="77777777" w:rsidR="0050298E" w:rsidRPr="0050298E" w:rsidRDefault="0050298E" w:rsidP="0050298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Niveau de Pression sonore dB(A)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5CF5D0" w14:textId="77777777" w:rsidR="0050298E" w:rsidRPr="0050298E" w:rsidRDefault="0050298E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45</w:t>
            </w:r>
          </w:p>
        </w:tc>
      </w:tr>
      <w:tr w:rsidR="0050298E" w:rsidRPr="0050298E" w14:paraId="62FE13C9" w14:textId="77777777" w:rsidTr="0050298E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4423A4" w14:textId="77777777" w:rsidR="0050298E" w:rsidRPr="0050298E" w:rsidRDefault="0050298E" w:rsidP="0050298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Plage de fonctionnement (°CBS)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80ED7" w14:textId="128DFABE" w:rsidR="0050298E" w:rsidRPr="0050298E" w:rsidRDefault="0050298E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-</w:t>
            </w:r>
            <w:r w:rsidR="0092254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20</w:t>
            </w: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 / +</w:t>
            </w:r>
            <w:r w:rsidR="0092254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52</w:t>
            </w: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°C</w:t>
            </w:r>
          </w:p>
        </w:tc>
      </w:tr>
    </w:tbl>
    <w:p w14:paraId="5A704F4B" w14:textId="53E206A7" w:rsidR="0050298E" w:rsidRPr="0050298E" w:rsidRDefault="0050298E" w:rsidP="0050298E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  <w:r w:rsidRPr="0050298E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 Boîtier de contrôle</w:t>
      </w:r>
    </w:p>
    <w:p w14:paraId="219ECCC9" w14:textId="77777777" w:rsidR="0050298E" w:rsidRPr="0050298E" w:rsidRDefault="0050298E" w:rsidP="0050298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La régulation se fera via un boîtier de contrôle interface entre le groupe de condensation et la centrale de traitement d'air.</w:t>
      </w:r>
    </w:p>
    <w:p w14:paraId="6422FB02" w14:textId="77777777" w:rsidR="0050298E" w:rsidRPr="0050298E" w:rsidRDefault="0050298E" w:rsidP="0050298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701"/>
      </w:tblGrid>
      <w:tr w:rsidR="007B61D7" w:rsidRPr="0050298E" w14:paraId="391A9C01" w14:textId="77777777" w:rsidTr="007B61D7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045A36" w14:textId="77777777" w:rsidR="007B61D7" w:rsidRPr="0050298E" w:rsidRDefault="007B61D7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Référence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05A555" w14:textId="24961581" w:rsidR="007B61D7" w:rsidRPr="0050298E" w:rsidRDefault="007B61D7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EKE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ACB</w:t>
            </w:r>
          </w:p>
        </w:tc>
      </w:tr>
      <w:tr w:rsidR="007B61D7" w:rsidRPr="0050298E" w14:paraId="10FED289" w14:textId="77777777" w:rsidTr="007B61D7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DFA9F4" w14:textId="77777777" w:rsidR="007B61D7" w:rsidRPr="0050298E" w:rsidRDefault="007B61D7" w:rsidP="0050298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Type de contrôle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87DC71" w14:textId="1433BBAA" w:rsidR="007B61D7" w:rsidRPr="0050298E" w:rsidRDefault="00AA1E3C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W/X/Y/Z/Z’</w:t>
            </w:r>
          </w:p>
        </w:tc>
      </w:tr>
      <w:tr w:rsidR="007B61D7" w:rsidRPr="0050298E" w14:paraId="509715FA" w14:textId="77777777" w:rsidTr="007B61D7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DF9415" w14:textId="77777777" w:rsidR="007B61D7" w:rsidRPr="0050298E" w:rsidRDefault="007B61D7" w:rsidP="0050298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Encombrement HxLxP (mm)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40B9F5" w14:textId="169FDADD" w:rsidR="007B61D7" w:rsidRPr="0050298E" w:rsidRDefault="00AA1E3C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400</w:t>
            </w:r>
            <w:r w:rsidR="0092254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 x 300 x 150</w:t>
            </w:r>
          </w:p>
        </w:tc>
      </w:tr>
      <w:tr w:rsidR="007B61D7" w:rsidRPr="0050298E" w14:paraId="4D044B6C" w14:textId="77777777" w:rsidTr="007B61D7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330331" w14:textId="77777777" w:rsidR="007B61D7" w:rsidRPr="0050298E" w:rsidRDefault="007B61D7" w:rsidP="0050298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Poids de l’unité (kg)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0E53CD" w14:textId="585A0CFE" w:rsidR="007B61D7" w:rsidRPr="0050298E" w:rsidRDefault="0030688C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5,1</w:t>
            </w:r>
          </w:p>
        </w:tc>
      </w:tr>
      <w:tr w:rsidR="007B61D7" w:rsidRPr="0050298E" w14:paraId="1A260EA6" w14:textId="77777777" w:rsidTr="007B61D7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CE54E3" w14:textId="77777777" w:rsidR="007B61D7" w:rsidRPr="0050298E" w:rsidRDefault="007B61D7" w:rsidP="0050298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Plage de fonctionnement (°CBS)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9B5C75" w14:textId="77777777" w:rsidR="007B61D7" w:rsidRPr="0050298E" w:rsidRDefault="007B61D7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-10 / +40°C</w:t>
            </w:r>
          </w:p>
        </w:tc>
      </w:tr>
      <w:tr w:rsidR="007B61D7" w:rsidRPr="0050298E" w14:paraId="631275D0" w14:textId="77777777" w:rsidTr="007B61D7"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CA74F" w14:textId="77777777" w:rsidR="007B61D7" w:rsidRPr="0050298E" w:rsidRDefault="007B61D7" w:rsidP="0050298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Alimentation électrique (V/Ph/Hz)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B5399" w14:textId="77777777" w:rsidR="007B61D7" w:rsidRPr="0050298E" w:rsidRDefault="007B61D7" w:rsidP="0050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0298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230 / 1 / 50</w:t>
            </w:r>
          </w:p>
        </w:tc>
      </w:tr>
    </w:tbl>
    <w:p w14:paraId="563E9FCD" w14:textId="77777777" w:rsidR="0050298E" w:rsidRPr="00D02A1A" w:rsidRDefault="0050298E" w:rsidP="0050298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3B856340" w14:textId="66CC5D61" w:rsidR="0050298E" w:rsidRPr="0050298E" w:rsidRDefault="0050298E" w:rsidP="0050298E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0298E"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  <w:t>·</w:t>
      </w:r>
      <w:r w:rsidRPr="0050298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</w:t>
      </w:r>
      <w:r w:rsidRPr="004F54C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Contrôle de type W:</w:t>
      </w: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régulation en fonction des températures de l'air </w:t>
      </w:r>
      <w:r w:rsidR="00D02A1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soufflé ou repris</w:t>
      </w:r>
      <w:r w:rsidR="00496E3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avec un régulateur externe</w:t>
      </w:r>
      <w:r w:rsidR="00E2575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(CTA non DAIKIN)</w:t>
      </w:r>
      <w:r w:rsidR="00496E3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de t</w:t>
      </w:r>
      <w:r w:rsidR="00E2575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ype DCC,</w:t>
      </w:r>
      <w:r w:rsidR="00474D1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via 0-10V proportionnel</w:t>
      </w:r>
      <w:r w:rsidR="00E2575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</w:t>
      </w:r>
    </w:p>
    <w:p w14:paraId="47AE7301" w14:textId="4CB04BBB" w:rsidR="00D02A1A" w:rsidRDefault="0050298E" w:rsidP="0050298E">
      <w:pPr>
        <w:spacing w:after="0" w:line="240" w:lineRule="auto"/>
        <w:ind w:left="720" w:hanging="360"/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</w:pPr>
      <w:r w:rsidRPr="0050298E"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  <w:t>·</w:t>
      </w:r>
      <w:r w:rsidRPr="0050298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</w:t>
      </w:r>
      <w:r w:rsidRPr="004F54C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Contrôle de type X:</w:t>
      </w: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D02A1A"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régulation en fonction des températures de l'air </w:t>
      </w:r>
      <w:r w:rsidR="00D02A1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soufflé ou repri</w:t>
      </w:r>
      <w:r w:rsidR="00CA79E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 avec un régulateur de type DDC (</w:t>
      </w:r>
      <w:r w:rsidR="00496E3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type de régulation d’usine sur les CTA DAIKIN)</w:t>
      </w:r>
    </w:p>
    <w:p w14:paraId="57598859" w14:textId="4FF568A8" w:rsidR="0050298E" w:rsidRDefault="0050298E" w:rsidP="0050298E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0298E"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  <w:t>·</w:t>
      </w:r>
      <w:r w:rsidRPr="0050298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</w:t>
      </w:r>
      <w:r w:rsidRPr="004F54C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Contrôle de type Y:</w:t>
      </w: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régulation en fonction de la température d'évaporation</w:t>
      </w:r>
      <w:r w:rsidR="00994D0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/condensation</w:t>
      </w:r>
      <w:r w:rsidR="00E2575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(</w:t>
      </w:r>
      <w:r w:rsidR="00994D0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contrôle indirect de la température ambiante</w:t>
      </w:r>
      <w:r w:rsidR="00E2575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) via un </w:t>
      </w:r>
      <w:r w:rsidR="004F54C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thermostat tiers et une télécommande Madoka DAIKIN</w:t>
      </w:r>
    </w:p>
    <w:p w14:paraId="20D0ABE1" w14:textId="2AD58987" w:rsidR="0050298E" w:rsidRDefault="0050298E" w:rsidP="0050298E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0298E"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  <w:t>·</w:t>
      </w:r>
      <w:r w:rsidRPr="0050298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</w:t>
      </w:r>
      <w:r w:rsidRPr="004F54C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Contrôle de type Z:</w:t>
      </w:r>
      <w:r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régulation en fonction de la température de reprise </w:t>
      </w:r>
      <w:r w:rsidR="00A94EAB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via une télécommande Madoka DAIKIN (application de type CTA Simple Flux 100% air repris)</w:t>
      </w:r>
      <w:r w:rsidR="002A157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. Possibilité pour un groupe VRV de </w:t>
      </w:r>
      <w:r w:rsidR="005038D6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comporter plusieurs kits DX ou de mixé avec des unités intérieurs VRV.</w:t>
      </w:r>
    </w:p>
    <w:p w14:paraId="27360882" w14:textId="49A02CEE" w:rsidR="008913A9" w:rsidRDefault="00FD1896" w:rsidP="00FD1896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0298E">
        <w:rPr>
          <w:rFonts w:ascii="Symbol" w:eastAsia="Times New Roman" w:hAnsi="Symbol" w:cs="Calibri"/>
          <w:color w:val="000000"/>
          <w:kern w:val="0"/>
          <w:sz w:val="20"/>
          <w:szCs w:val="20"/>
          <w14:ligatures w14:val="none"/>
        </w:rPr>
        <w:t>·</w:t>
      </w:r>
      <w:r w:rsidRPr="0050298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</w:t>
      </w:r>
      <w:r w:rsidR="008913A9" w:rsidRPr="004F54C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Contrôle de type Z</w:t>
      </w:r>
      <w:r w:rsidRPr="004F54C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’</w:t>
      </w:r>
      <w:r w:rsidR="008913A9" w:rsidRPr="004F54C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:</w:t>
      </w:r>
      <w:r w:rsidR="008913A9" w:rsidRPr="0050298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régulation en fonction de la température de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soufflage</w:t>
      </w:r>
      <w:r w:rsidR="00A94EAB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via une télécommande Madoka DAIKIN (CTA avec air neuf possible)</w:t>
      </w:r>
      <w:r w:rsidR="005038D6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 Possibilité pour un groupe VRV de comporter plusieurs kits DX ou de mixé avec des unités intérieurs VRV.</w:t>
      </w:r>
    </w:p>
    <w:p w14:paraId="77F06042" w14:textId="77777777" w:rsidR="00E06C81" w:rsidRDefault="00E06C81" w:rsidP="00E06C8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</w:p>
    <w:p w14:paraId="191A5E6E" w14:textId="77777777" w:rsidR="00E06C81" w:rsidRDefault="00E06C81" w:rsidP="00E06C8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</w:p>
    <w:p w14:paraId="1C777113" w14:textId="77777777" w:rsidR="00E06C81" w:rsidRDefault="00E06C81" w:rsidP="00E06C8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</w:p>
    <w:p w14:paraId="14F1D918" w14:textId="77777777" w:rsidR="00E06C81" w:rsidRDefault="00E06C81" w:rsidP="00E06C8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</w:p>
    <w:p w14:paraId="1FAF3ECE" w14:textId="2D39940F" w:rsidR="00E06C81" w:rsidRPr="00E06C81" w:rsidRDefault="00E06C81" w:rsidP="00E06C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6C81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lastRenderedPageBreak/>
        <w:t>c) </w:t>
      </w:r>
      <w:r w:rsidRPr="00E06C81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Circuit frigorifique et électrique du kit CTA</w:t>
      </w:r>
    </w:p>
    <w:p w14:paraId="21093191" w14:textId="77777777" w:rsidR="00E06C81" w:rsidRPr="00E06C81" w:rsidRDefault="00E06C81" w:rsidP="00E06C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78BF3B26" w14:textId="60746239" w:rsidR="00E06C81" w:rsidRPr="00E06C81" w:rsidRDefault="00E06C81" w:rsidP="00E06C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Le raccordement entre le groupe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VRV</w:t>
      </w: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, le boîtier détendeur et l'évaporateur de la CTA sera effectué avec des liaisons cuivre de faible diamètre (qualité frigorifique)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et</w:t>
      </w: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isolées séparément.</w:t>
      </w: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La longueur maximale entre le boîtier détendeur et la centrale de traitement d'air sera de 5m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(si boitier non monté dans la CTA)</w:t>
      </w: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Le boîtier de contrôle sera alimentée en monophasé 220/1/50. Il sera protégé par un disjoncteur différentiel de calibre adapté.</w:t>
      </w: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Une liaison bus (série/parallèle) une paire, non polarisée, blindée assurera la communication entre le groupe de condensation et le boîtier de contrôle.</w:t>
      </w:r>
      <w:r w:rsidRPr="00E06C8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Une liaison bus trois paires, non polarisée, blindée assurera la communication entre le boîtier de contrôle et le boîtier détendeur.</w:t>
      </w:r>
    </w:p>
    <w:p w14:paraId="767AEE30" w14:textId="77777777" w:rsidR="00EF64AA" w:rsidRPr="008913A9" w:rsidRDefault="00EF64AA" w:rsidP="00E06C8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20F12418" w14:textId="77777777" w:rsidR="00450A94" w:rsidRDefault="00450A94"/>
    <w:sectPr w:rsidR="0045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3613"/>
    <w:multiLevelType w:val="hybridMultilevel"/>
    <w:tmpl w:val="F054851E"/>
    <w:lvl w:ilvl="0" w:tplc="88128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9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4B"/>
    <w:rsid w:val="002844B7"/>
    <w:rsid w:val="002A157D"/>
    <w:rsid w:val="002B57C2"/>
    <w:rsid w:val="0030688C"/>
    <w:rsid w:val="00450A94"/>
    <w:rsid w:val="00474D1C"/>
    <w:rsid w:val="00496E34"/>
    <w:rsid w:val="004F54C0"/>
    <w:rsid w:val="0050298E"/>
    <w:rsid w:val="005038D6"/>
    <w:rsid w:val="006B03D4"/>
    <w:rsid w:val="007B61D7"/>
    <w:rsid w:val="008913A9"/>
    <w:rsid w:val="0092254B"/>
    <w:rsid w:val="009711BD"/>
    <w:rsid w:val="00994D0A"/>
    <w:rsid w:val="00A94EAB"/>
    <w:rsid w:val="00AA1E3C"/>
    <w:rsid w:val="00B6024B"/>
    <w:rsid w:val="00CA79ED"/>
    <w:rsid w:val="00D02A1A"/>
    <w:rsid w:val="00E06C81"/>
    <w:rsid w:val="00E25758"/>
    <w:rsid w:val="00EF64AA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420"/>
  <w15:chartTrackingRefBased/>
  <w15:docId w15:val="{B697FDE7-CC54-47E6-88C7-135540A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2921</Characters>
  <Application>Microsoft Office Word</Application>
  <DocSecurity>0</DocSecurity>
  <Lines>24</Lines>
  <Paragraphs>6</Paragraphs>
  <ScaleCrop>false</ScaleCrop>
  <Company>Daikin Europe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24</cp:revision>
  <dcterms:created xsi:type="dcterms:W3CDTF">2023-12-13T15:37:00Z</dcterms:created>
  <dcterms:modified xsi:type="dcterms:W3CDTF">2024-01-08T07:48:00Z</dcterms:modified>
</cp:coreProperties>
</file>