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386F" w14:textId="77777777" w:rsidR="0011242F" w:rsidRPr="0011242F" w:rsidRDefault="0011242F" w:rsidP="0011242F">
      <w:pPr>
        <w:spacing w:after="0" w:line="240" w:lineRule="auto"/>
        <w:rPr>
          <w:rFonts w:ascii="Times New Roman" w:eastAsia="Times New Roman" w:hAnsi="Times New Roman" w:cs="Times New Roman"/>
          <w:b/>
          <w:bCs/>
          <w:color w:val="000000"/>
          <w:kern w:val="0"/>
          <w:sz w:val="24"/>
          <w:szCs w:val="24"/>
          <w14:ligatures w14:val="none"/>
        </w:rPr>
      </w:pPr>
      <w:r w:rsidRPr="0011242F">
        <w:rPr>
          <w:rFonts w:ascii="Times New Roman" w:eastAsia="Times New Roman" w:hAnsi="Times New Roman" w:cs="Times New Roman"/>
          <w:b/>
          <w:bCs/>
          <w:color w:val="000000"/>
          <w:kern w:val="0"/>
          <w:sz w:val="24"/>
          <w:szCs w:val="24"/>
          <w14:ligatures w14:val="none"/>
        </w:rPr>
        <w:t>BOITE D’ISOLEMENT (BOITE SV)</w:t>
      </w:r>
    </w:p>
    <w:p w14:paraId="39F1C208" w14:textId="77777777" w:rsidR="0011242F" w:rsidRPr="0011242F" w:rsidRDefault="0011242F" w:rsidP="0011242F">
      <w:pPr>
        <w:spacing w:after="0" w:line="240" w:lineRule="auto"/>
        <w:rPr>
          <w:rFonts w:ascii="Times New Roman" w:eastAsia="Times New Roman" w:hAnsi="Times New Roman" w:cs="Times New Roman"/>
          <w:b/>
          <w:bCs/>
          <w:color w:val="000000"/>
          <w:kern w:val="0"/>
          <w:sz w:val="24"/>
          <w:szCs w:val="24"/>
          <w14:ligatures w14:val="none"/>
        </w:rPr>
      </w:pPr>
      <w:r w:rsidRPr="0011242F">
        <w:rPr>
          <w:rFonts w:ascii="Times New Roman" w:eastAsia="Times New Roman" w:hAnsi="Times New Roman" w:cs="Times New Roman"/>
          <w:b/>
          <w:bCs/>
          <w:color w:val="000000"/>
          <w:kern w:val="0"/>
          <w:sz w:val="24"/>
          <w:szCs w:val="24"/>
          <w14:ligatures w14:val="none"/>
        </w:rPr>
        <w:t> </w:t>
      </w:r>
    </w:p>
    <w:p w14:paraId="0F18A994" w14:textId="77777777" w:rsidR="0011242F" w:rsidRPr="0011242F" w:rsidRDefault="0011242F" w:rsidP="0011242F">
      <w:pPr>
        <w:spacing w:after="0" w:line="240" w:lineRule="auto"/>
        <w:rPr>
          <w:rFonts w:ascii="Calibri" w:eastAsia="Times New Roman" w:hAnsi="Calibri" w:cs="Calibri"/>
          <w:color w:val="000000"/>
          <w:kern w:val="0"/>
          <w:sz w:val="20"/>
          <w:szCs w:val="20"/>
          <w14:ligatures w14:val="none"/>
        </w:rPr>
      </w:pPr>
      <w:r w:rsidRPr="0011242F">
        <w:rPr>
          <w:rFonts w:ascii="Calibri" w:eastAsia="Times New Roman" w:hAnsi="Calibri" w:cs="Calibri"/>
          <w:color w:val="000000"/>
          <w:kern w:val="0"/>
          <w:sz w:val="20"/>
          <w:szCs w:val="20"/>
          <w14:ligatures w14:val="none"/>
        </w:rPr>
        <w:t>Les boîtiers d’isolement SV de marque DAIKIN seront disposés entre l'unité extérieure et les unités intérieures et permettra l’isolement d’un ou plusieurs circuits en cas de fuite de réfrigérant pour ne pas dépasser la limite de quantité de fluide dans une zone.</w:t>
      </w:r>
    </w:p>
    <w:p w14:paraId="402E58F9" w14:textId="77777777" w:rsidR="0011242F" w:rsidRPr="0011242F" w:rsidRDefault="0011242F" w:rsidP="0011242F">
      <w:pPr>
        <w:spacing w:after="0" w:line="240" w:lineRule="auto"/>
        <w:rPr>
          <w:rFonts w:ascii="Calibri" w:eastAsia="Times New Roman" w:hAnsi="Calibri" w:cs="Calibri"/>
          <w:color w:val="000000"/>
          <w:kern w:val="0"/>
          <w:sz w:val="20"/>
          <w:szCs w:val="20"/>
          <w14:ligatures w14:val="none"/>
        </w:rPr>
      </w:pPr>
      <w:r w:rsidRPr="0011242F">
        <w:rPr>
          <w:rFonts w:ascii="Calibri" w:eastAsia="Times New Roman" w:hAnsi="Calibri" w:cs="Calibri"/>
          <w:color w:val="000000"/>
          <w:kern w:val="0"/>
          <w:sz w:val="20"/>
          <w:szCs w:val="20"/>
          <w14:ligatures w14:val="none"/>
        </w:rPr>
        <w:br/>
        <w:t>Chaque boîtier sera composé d'une série de vannes électroniques assurant la continuité de fonctionnement du reste de l'installation en cas de fuite.</w:t>
      </w:r>
      <w:r w:rsidRPr="0011242F">
        <w:rPr>
          <w:rFonts w:ascii="Calibri" w:eastAsia="Times New Roman" w:hAnsi="Calibri" w:cs="Calibri"/>
          <w:color w:val="000000"/>
          <w:kern w:val="0"/>
          <w:sz w:val="20"/>
          <w:szCs w:val="20"/>
          <w14:ligatures w14:val="none"/>
        </w:rPr>
        <w:br/>
        <w:t>Afin d'optimiser la distribution du fluide dans l'installation, l'entreprise pourra choisir les boîtiers de sélection parmi les modèles de 1 à 8 sorties. Le panneau de commande sera de type coulissant pour faciliter les opérations de maintenances.</w:t>
      </w:r>
    </w:p>
    <w:p w14:paraId="4D1829DD" w14:textId="77777777" w:rsidR="0011242F" w:rsidRPr="0011242F" w:rsidRDefault="0011242F" w:rsidP="0011242F">
      <w:pPr>
        <w:spacing w:after="0" w:line="240" w:lineRule="auto"/>
        <w:rPr>
          <w:rFonts w:ascii="Calibri" w:eastAsia="Times New Roman" w:hAnsi="Calibri" w:cs="Calibri"/>
          <w:color w:val="000000"/>
          <w:kern w:val="0"/>
          <w:sz w:val="20"/>
          <w:szCs w:val="20"/>
          <w14:ligatures w14:val="none"/>
        </w:rPr>
      </w:pPr>
      <w:r w:rsidRPr="0011242F">
        <w:rPr>
          <w:rFonts w:ascii="Calibri" w:eastAsia="Times New Roman" w:hAnsi="Calibri" w:cs="Calibri"/>
          <w:color w:val="000000"/>
          <w:kern w:val="0"/>
          <w:sz w:val="20"/>
          <w:szCs w:val="20"/>
          <w14:ligatures w14:val="none"/>
        </w:rPr>
        <w:t> </w:t>
      </w:r>
    </w:p>
    <w:p w14:paraId="330AE238" w14:textId="77777777" w:rsidR="0011242F" w:rsidRPr="0011242F" w:rsidRDefault="0011242F" w:rsidP="0011242F">
      <w:pPr>
        <w:spacing w:after="0" w:line="240" w:lineRule="auto"/>
        <w:rPr>
          <w:rFonts w:ascii="Calibri" w:eastAsia="Times New Roman" w:hAnsi="Calibri" w:cs="Calibri"/>
          <w:color w:val="000000"/>
          <w:kern w:val="0"/>
          <w:sz w:val="20"/>
          <w:szCs w:val="20"/>
          <w14:ligatures w14:val="none"/>
        </w:rPr>
      </w:pPr>
      <w:r w:rsidRPr="0011242F">
        <w:rPr>
          <w:rFonts w:ascii="Calibri" w:eastAsia="Times New Roman" w:hAnsi="Calibri" w:cs="Calibri"/>
          <w:color w:val="000000"/>
          <w:kern w:val="0"/>
          <w:sz w:val="20"/>
          <w:szCs w:val="20"/>
          <w14:ligatures w14:val="none"/>
        </w:rPr>
        <w:t>La boite de sélection aura un flux de réfrigérant traversant permettant ainsi de réduire le nombre de points de brasages.</w:t>
      </w:r>
    </w:p>
    <w:p w14:paraId="43955D81" w14:textId="77777777" w:rsidR="0011242F" w:rsidRPr="0011242F" w:rsidRDefault="0011242F" w:rsidP="0011242F">
      <w:pPr>
        <w:spacing w:after="0" w:line="240" w:lineRule="auto"/>
        <w:rPr>
          <w:rFonts w:ascii="Calibri" w:eastAsia="Times New Roman" w:hAnsi="Calibri" w:cs="Calibri"/>
          <w:color w:val="000000"/>
          <w:kern w:val="0"/>
          <w:sz w:val="20"/>
          <w:szCs w:val="20"/>
          <w14:ligatures w14:val="none"/>
        </w:rPr>
      </w:pPr>
      <w:r w:rsidRPr="0011242F">
        <w:rPr>
          <w:rFonts w:ascii="Calibri" w:eastAsia="Times New Roman" w:hAnsi="Calibri" w:cs="Calibri"/>
          <w:color w:val="000000"/>
          <w:kern w:val="0"/>
          <w:sz w:val="20"/>
          <w:szCs w:val="20"/>
          <w14:ligatures w14:val="none"/>
        </w:rPr>
        <w:t> </w:t>
      </w:r>
    </w:p>
    <w:p w14:paraId="5430EB90" w14:textId="77777777" w:rsidR="0011242F" w:rsidRPr="0011242F" w:rsidRDefault="0011242F" w:rsidP="0011242F">
      <w:pPr>
        <w:spacing w:after="0" w:line="240" w:lineRule="auto"/>
        <w:rPr>
          <w:rFonts w:ascii="Calibri" w:eastAsia="Times New Roman" w:hAnsi="Calibri" w:cs="Calibri"/>
          <w:color w:val="000000"/>
          <w:kern w:val="0"/>
          <w:sz w:val="20"/>
          <w:szCs w:val="20"/>
          <w14:ligatures w14:val="none"/>
        </w:rPr>
      </w:pPr>
      <w:r w:rsidRPr="0011242F">
        <w:rPr>
          <w:rFonts w:ascii="Calibri" w:eastAsia="Times New Roman" w:hAnsi="Calibri" w:cs="Calibri"/>
          <w:color w:val="000000"/>
          <w:kern w:val="0"/>
          <w:sz w:val="20"/>
          <w:szCs w:val="20"/>
          <w14:ligatures w14:val="none"/>
        </w:rPr>
        <w:t>Suivant la norme produit IEC-60 335-2-40, chaque boite SV sera équipé d’un jeu de vanne d’isolement pour chaque circuit frigorifique, une virole d’extraction d’air de 160 mm et d’un détecteur de fuite de fluide frigorigène.</w:t>
      </w:r>
    </w:p>
    <w:p w14:paraId="3C93D4B4" w14:textId="77777777" w:rsidR="00852724" w:rsidRPr="00852724" w:rsidRDefault="00852724" w:rsidP="00852724">
      <w:pPr>
        <w:spacing w:after="0" w:line="240" w:lineRule="auto"/>
        <w:rPr>
          <w:rFonts w:ascii="Calibri" w:eastAsia="Times New Roman" w:hAnsi="Calibri" w:cs="Calibri"/>
          <w:color w:val="000000"/>
          <w:kern w:val="0"/>
          <w14:ligatures w14:val="none"/>
        </w:rPr>
      </w:pPr>
    </w:p>
    <w:p w14:paraId="0E53C015" w14:textId="6B526A4E" w:rsidR="00852724" w:rsidRPr="00852724" w:rsidRDefault="0011242F" w:rsidP="00852724">
      <w:pPr>
        <w:spacing w:after="0" w:line="240" w:lineRule="auto"/>
        <w:jc w:val="center"/>
        <w:rPr>
          <w:rFonts w:ascii="Calibri" w:eastAsia="Times New Roman" w:hAnsi="Calibri" w:cs="Calibri"/>
          <w:color w:val="000000"/>
          <w:kern w:val="0"/>
          <w:lang w:val="en-GB"/>
          <w14:ligatures w14:val="none"/>
        </w:rPr>
      </w:pPr>
      <w:r w:rsidRPr="0011242F">
        <w:rPr>
          <w:rFonts w:ascii="Calibri" w:eastAsia="Times New Roman" w:hAnsi="Calibri" w:cs="Calibri"/>
          <w:color w:val="000000"/>
          <w:kern w:val="0"/>
          <w14:ligatures w14:val="none"/>
        </w:rPr>
        <w:drawing>
          <wp:inline distT="0" distB="0" distL="0" distR="0" wp14:anchorId="53C52A85" wp14:editId="34FAB54D">
            <wp:extent cx="3200400" cy="1453524"/>
            <wp:effectExtent l="0" t="0" r="0" b="0"/>
            <wp:docPr id="11" name="Image 10" descr="Une image contenant maison, Modèle réduit&#10;&#10;Le contenu généré par l’IA peut être incorrect.">
              <a:extLst xmlns:a="http://schemas.openxmlformats.org/drawingml/2006/main">
                <a:ext uri="{FF2B5EF4-FFF2-40B4-BE49-F238E27FC236}">
                  <a16:creationId xmlns:a16="http://schemas.microsoft.com/office/drawing/2014/main" id="{3FC84959-5EC3-4E8F-7902-E62B0B1AE1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descr="Une image contenant maison, Modèle réduit&#10;&#10;Le contenu généré par l’IA peut être incorrect.">
                      <a:extLst>
                        <a:ext uri="{FF2B5EF4-FFF2-40B4-BE49-F238E27FC236}">
                          <a16:creationId xmlns:a16="http://schemas.microsoft.com/office/drawing/2014/main" id="{3FC84959-5EC3-4E8F-7902-E62B0B1AE1E2}"/>
                        </a:ext>
                      </a:extLst>
                    </pic:cNvPr>
                    <pic:cNvPicPr>
                      <a:picLocks noChangeAspect="1"/>
                    </pic:cNvPicPr>
                  </pic:nvPicPr>
                  <pic:blipFill>
                    <a:blip r:embed="rId4">
                      <a:extLst>
                        <a:ext uri="{28A0092B-C50C-407E-A947-70E740481C1C}">
                          <a14:useLocalDpi xmlns:a14="http://schemas.microsoft.com/office/drawing/2010/main" val="0"/>
                        </a:ext>
                      </a:extLst>
                    </a:blip>
                    <a:srcRect l="19767" t="32771" r="22957" b="32565"/>
                    <a:stretch>
                      <a:fillRect/>
                    </a:stretch>
                  </pic:blipFill>
                  <pic:spPr>
                    <a:xfrm>
                      <a:off x="0" y="0"/>
                      <a:ext cx="3205094" cy="1455656"/>
                    </a:xfrm>
                    <a:prstGeom prst="rect">
                      <a:avLst/>
                    </a:prstGeom>
                  </pic:spPr>
                </pic:pic>
              </a:graphicData>
            </a:graphic>
          </wp:inline>
        </w:drawing>
      </w:r>
    </w:p>
    <w:p w14:paraId="3DFC8C11" w14:textId="77777777" w:rsidR="00852724" w:rsidRPr="00852724" w:rsidRDefault="00852724" w:rsidP="00852724">
      <w:pPr>
        <w:spacing w:after="0" w:line="240" w:lineRule="auto"/>
        <w:rPr>
          <w:rFonts w:ascii="Calibri" w:eastAsia="Times New Roman" w:hAnsi="Calibri" w:cs="Calibri"/>
          <w:color w:val="000000"/>
          <w:kern w:val="0"/>
          <w:lang w:val="en-GB"/>
          <w14:ligatures w14:val="none"/>
        </w:rPr>
      </w:pPr>
      <w:r w:rsidRPr="00852724">
        <w:rPr>
          <w:rFonts w:ascii="Times New Roman" w:eastAsia="Times New Roman" w:hAnsi="Times New Roman" w:cs="Times New Roman"/>
          <w:color w:val="000000"/>
          <w:kern w:val="0"/>
          <w:sz w:val="24"/>
          <w:szCs w:val="24"/>
          <w14:ligatures w14:val="none"/>
        </w:rPr>
        <w:t> </w:t>
      </w:r>
    </w:p>
    <w:p w14:paraId="1D72159F" w14:textId="77777777" w:rsidR="0011242F" w:rsidRPr="00852724" w:rsidRDefault="00852724" w:rsidP="00852724">
      <w:pPr>
        <w:spacing w:after="0" w:line="240" w:lineRule="auto"/>
        <w:rPr>
          <w:rFonts w:ascii="Calibri" w:eastAsia="Times New Roman" w:hAnsi="Calibri" w:cs="Calibri"/>
          <w:color w:val="000000"/>
          <w:kern w:val="0"/>
          <w:lang w:val="en-GB"/>
          <w14:ligatures w14:val="none"/>
        </w:rPr>
      </w:pPr>
      <w:r w:rsidRPr="00852724">
        <w:rPr>
          <w:rFonts w:ascii="Calibri" w:eastAsia="Times New Roman" w:hAnsi="Calibri" w:cs="Calibri"/>
          <w:color w:val="000000"/>
          <w:kern w:val="0"/>
          <w:sz w:val="20"/>
          <w:szCs w:val="20"/>
          <w14:ligatures w14:val="none"/>
        </w:rPr>
        <w:t> </w:t>
      </w:r>
    </w:p>
    <w:tbl>
      <w:tblPr>
        <w:tblW w:w="5000" w:type="pct"/>
        <w:tblCellMar>
          <w:left w:w="0" w:type="dxa"/>
          <w:right w:w="0" w:type="dxa"/>
        </w:tblCellMar>
        <w:tblLook w:val="04A0" w:firstRow="1" w:lastRow="0" w:firstColumn="1" w:lastColumn="0" w:noHBand="0" w:noVBand="1"/>
      </w:tblPr>
      <w:tblGrid>
        <w:gridCol w:w="1811"/>
        <w:gridCol w:w="1811"/>
        <w:gridCol w:w="1810"/>
        <w:gridCol w:w="1810"/>
        <w:gridCol w:w="1810"/>
      </w:tblGrid>
      <w:tr w:rsidR="0011242F" w:rsidRPr="0011242F" w14:paraId="7081CA1C" w14:textId="77777777" w:rsidTr="0011242F">
        <w:tc>
          <w:tcPr>
            <w:tcW w:w="1000" w:type="pct"/>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3CB42F0E"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b/>
                <w:bCs/>
                <w:kern w:val="0"/>
                <w:sz w:val="17"/>
                <w:szCs w:val="17"/>
                <w:lang w:val="en-GB"/>
                <w14:ligatures w14:val="none"/>
              </w:rPr>
              <w:t>Référence</w:t>
            </w:r>
          </w:p>
        </w:tc>
        <w:tc>
          <w:tcPr>
            <w:tcW w:w="1000" w:type="pct"/>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14:paraId="677E1210"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b/>
                <w:bCs/>
                <w:kern w:val="0"/>
                <w:sz w:val="17"/>
                <w:szCs w:val="17"/>
                <w:lang w:val="en-GB"/>
                <w14:ligatures w14:val="none"/>
              </w:rPr>
              <w:t>SV1A25A</w:t>
            </w:r>
          </w:p>
        </w:tc>
        <w:tc>
          <w:tcPr>
            <w:tcW w:w="1000" w:type="pct"/>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14:paraId="6A87D1D1"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b/>
                <w:bCs/>
                <w:kern w:val="0"/>
                <w:sz w:val="17"/>
                <w:szCs w:val="17"/>
                <w:lang w:val="en-GB"/>
                <w14:ligatures w14:val="none"/>
              </w:rPr>
              <w:t>SV4A14A</w:t>
            </w:r>
          </w:p>
        </w:tc>
        <w:tc>
          <w:tcPr>
            <w:tcW w:w="1000" w:type="pct"/>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14:paraId="77892F3D"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b/>
                <w:bCs/>
                <w:kern w:val="0"/>
                <w:sz w:val="17"/>
                <w:szCs w:val="17"/>
                <w:lang w:val="en-GB"/>
                <w14:ligatures w14:val="none"/>
              </w:rPr>
              <w:t>SV6A14A</w:t>
            </w:r>
          </w:p>
        </w:tc>
        <w:tc>
          <w:tcPr>
            <w:tcW w:w="1000" w:type="pct"/>
            <w:tcBorders>
              <w:top w:val="single" w:sz="8" w:space="0" w:color="000000"/>
              <w:left w:val="nil"/>
              <w:bottom w:val="single" w:sz="8" w:space="0" w:color="000000"/>
              <w:right w:val="single" w:sz="8" w:space="0" w:color="000000"/>
            </w:tcBorders>
            <w:tcMar>
              <w:top w:w="30" w:type="dxa"/>
              <w:left w:w="30" w:type="dxa"/>
              <w:bottom w:w="30" w:type="dxa"/>
              <w:right w:w="30" w:type="dxa"/>
            </w:tcMar>
            <w:hideMark/>
          </w:tcPr>
          <w:p w14:paraId="64E64213"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b/>
                <w:bCs/>
                <w:kern w:val="0"/>
                <w:sz w:val="17"/>
                <w:szCs w:val="17"/>
                <w:lang w:val="en-GB"/>
                <w14:ligatures w14:val="none"/>
              </w:rPr>
              <w:t>SV8A14A</w:t>
            </w:r>
          </w:p>
        </w:tc>
      </w:tr>
      <w:tr w:rsidR="0011242F" w:rsidRPr="0011242F" w14:paraId="30953216" w14:textId="77777777" w:rsidTr="0011242F">
        <w:tc>
          <w:tcPr>
            <w:tcW w:w="1000"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3E339400"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Nombre de sorties</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5BC19958"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1</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2D249A8A"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4</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7049643D"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6</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4A977CA2"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8</w:t>
            </w:r>
          </w:p>
        </w:tc>
      </w:tr>
      <w:tr w:rsidR="0011242F" w:rsidRPr="0011242F" w14:paraId="007F40A8" w14:textId="77777777" w:rsidTr="0011242F">
        <w:tc>
          <w:tcPr>
            <w:tcW w:w="1000"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66AF4AA9" w14:textId="77777777" w:rsidR="0011242F" w:rsidRPr="0011242F" w:rsidRDefault="0011242F" w:rsidP="0011242F">
            <w:pPr>
              <w:spacing w:after="0" w:line="240" w:lineRule="auto"/>
              <w:jc w:val="center"/>
              <w:rPr>
                <w:rFonts w:ascii="Calibri" w:eastAsia="Times New Roman" w:hAnsi="Calibri" w:cs="Calibri"/>
                <w:kern w:val="0"/>
                <w14:ligatures w14:val="none"/>
              </w:rPr>
            </w:pPr>
            <w:r w:rsidRPr="0011242F">
              <w:rPr>
                <w:rFonts w:ascii="Verdana" w:eastAsia="Times New Roman" w:hAnsi="Verdana" w:cs="Calibri"/>
                <w:kern w:val="0"/>
                <w:sz w:val="17"/>
                <w:szCs w:val="17"/>
                <w14:ligatures w14:val="none"/>
              </w:rPr>
              <w:t>Nbre UI max sur la boite</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6DD018F9"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14:ligatures w14:val="none"/>
              </w:rPr>
              <w:t>5</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635AF1A8"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14:ligatures w14:val="none"/>
              </w:rPr>
              <w:t>20</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32F594C5"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14:ligatures w14:val="none"/>
              </w:rPr>
              <w:t>30</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12592222"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14:ligatures w14:val="none"/>
              </w:rPr>
              <w:t>40</w:t>
            </w:r>
          </w:p>
        </w:tc>
      </w:tr>
      <w:tr w:rsidR="0011242F" w:rsidRPr="0011242F" w14:paraId="77663873" w14:textId="77777777" w:rsidTr="0011242F">
        <w:tc>
          <w:tcPr>
            <w:tcW w:w="1000"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2CE01964" w14:textId="77777777" w:rsidR="0011242F" w:rsidRPr="0011242F" w:rsidRDefault="0011242F" w:rsidP="0011242F">
            <w:pPr>
              <w:spacing w:after="0" w:line="240" w:lineRule="auto"/>
              <w:jc w:val="center"/>
              <w:rPr>
                <w:rFonts w:ascii="Calibri" w:eastAsia="Times New Roman" w:hAnsi="Calibri" w:cs="Calibri"/>
                <w:kern w:val="0"/>
                <w14:ligatures w14:val="none"/>
              </w:rPr>
            </w:pPr>
            <w:r w:rsidRPr="0011242F">
              <w:rPr>
                <w:rFonts w:ascii="Verdana" w:eastAsia="Times New Roman" w:hAnsi="Verdana" w:cs="Calibri"/>
                <w:kern w:val="0"/>
                <w:sz w:val="17"/>
                <w:szCs w:val="17"/>
                <w14:ligatures w14:val="none"/>
              </w:rPr>
              <w:t>Nbre UI max par sortie</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2C3AD930"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14:ligatures w14:val="none"/>
              </w:rPr>
              <w:t>5</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68AACCD5"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14:ligatures w14:val="none"/>
              </w:rPr>
              <w:t>5</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7B80E706"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14:ligatures w14:val="none"/>
              </w:rPr>
              <w:t>5</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1B2BB908"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14:ligatures w14:val="none"/>
              </w:rPr>
              <w:t>5</w:t>
            </w:r>
          </w:p>
        </w:tc>
      </w:tr>
      <w:tr w:rsidR="0011242F" w:rsidRPr="0011242F" w14:paraId="12371345" w14:textId="77777777" w:rsidTr="0011242F">
        <w:tc>
          <w:tcPr>
            <w:tcW w:w="1000"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27909E19"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Indice de connexion max</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720DE48B"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250</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1A05A2EE"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400</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654856CE"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600</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23370E94"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650</w:t>
            </w:r>
          </w:p>
        </w:tc>
      </w:tr>
      <w:tr w:rsidR="0011242F" w:rsidRPr="0011242F" w14:paraId="24271ADA" w14:textId="77777777" w:rsidTr="0011242F">
        <w:tc>
          <w:tcPr>
            <w:tcW w:w="1000"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65EAE6D3"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Dimensions HxLxL (mm)</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7FA625A8"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6"/>
                <w:szCs w:val="16"/>
                <w:lang w:val="en-GB"/>
                <w14:ligatures w14:val="none"/>
              </w:rPr>
              <w:t>291 x 600 x 845</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23FFABA6"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6"/>
                <w:szCs w:val="16"/>
                <w:lang w:val="en-GB"/>
                <w14:ligatures w14:val="none"/>
              </w:rPr>
              <w:t>291 x 600 x 845</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2268BE79"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6"/>
                <w:szCs w:val="16"/>
                <w:lang w:val="en-GB"/>
                <w14:ligatures w14:val="none"/>
              </w:rPr>
              <w:t>291 x 1000 x 845</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275FE028"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6"/>
                <w:szCs w:val="16"/>
                <w:lang w:val="en-GB"/>
                <w14:ligatures w14:val="none"/>
              </w:rPr>
              <w:t>291 x 1000 x 845</w:t>
            </w:r>
          </w:p>
        </w:tc>
      </w:tr>
      <w:tr w:rsidR="0011242F" w:rsidRPr="0011242F" w14:paraId="20DFFCAB" w14:textId="77777777" w:rsidTr="0011242F">
        <w:tc>
          <w:tcPr>
            <w:tcW w:w="1000" w:type="pct"/>
            <w:tcBorders>
              <w:top w:val="nil"/>
              <w:left w:val="single" w:sz="8" w:space="0" w:color="000000"/>
              <w:bottom w:val="single" w:sz="8" w:space="0" w:color="000000"/>
              <w:right w:val="single" w:sz="8" w:space="0" w:color="000000"/>
            </w:tcBorders>
            <w:tcMar>
              <w:top w:w="30" w:type="dxa"/>
              <w:left w:w="30" w:type="dxa"/>
              <w:bottom w:w="30" w:type="dxa"/>
              <w:right w:w="30" w:type="dxa"/>
            </w:tcMar>
            <w:vAlign w:val="center"/>
            <w:hideMark/>
          </w:tcPr>
          <w:p w14:paraId="0B3DD924"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Poids (kg)</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5EBFF98A"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28</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05D51D92"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31</w:t>
            </w:r>
          </w:p>
        </w:tc>
        <w:tc>
          <w:tcPr>
            <w:tcW w:w="1000" w:type="pct"/>
            <w:tcBorders>
              <w:top w:val="nil"/>
              <w:left w:val="nil"/>
              <w:bottom w:val="single" w:sz="8" w:space="0" w:color="000000"/>
              <w:right w:val="single" w:sz="8" w:space="0" w:color="000000"/>
            </w:tcBorders>
            <w:tcMar>
              <w:top w:w="30" w:type="dxa"/>
              <w:left w:w="30" w:type="dxa"/>
              <w:bottom w:w="30" w:type="dxa"/>
              <w:right w:w="30" w:type="dxa"/>
            </w:tcMar>
            <w:vAlign w:val="center"/>
            <w:hideMark/>
          </w:tcPr>
          <w:p w14:paraId="5BDC15DF"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46</w:t>
            </w:r>
          </w:p>
        </w:tc>
        <w:tc>
          <w:tcPr>
            <w:tcW w:w="1000" w:type="pct"/>
            <w:tcBorders>
              <w:top w:val="nil"/>
              <w:left w:val="nil"/>
              <w:bottom w:val="single" w:sz="8" w:space="0" w:color="000000"/>
              <w:right w:val="single" w:sz="8" w:space="0" w:color="000000"/>
            </w:tcBorders>
            <w:tcMar>
              <w:top w:w="30" w:type="dxa"/>
              <w:left w:w="30" w:type="dxa"/>
              <w:bottom w:w="30" w:type="dxa"/>
              <w:right w:w="30" w:type="dxa"/>
            </w:tcMar>
            <w:hideMark/>
          </w:tcPr>
          <w:p w14:paraId="253FEFD1" w14:textId="77777777" w:rsidR="0011242F" w:rsidRPr="0011242F" w:rsidRDefault="0011242F" w:rsidP="0011242F">
            <w:pPr>
              <w:spacing w:after="0" w:line="240" w:lineRule="auto"/>
              <w:jc w:val="center"/>
              <w:rPr>
                <w:rFonts w:ascii="Calibri" w:eastAsia="Times New Roman" w:hAnsi="Calibri" w:cs="Calibri"/>
                <w:kern w:val="0"/>
                <w:lang w:val="en-GB"/>
                <w14:ligatures w14:val="none"/>
              </w:rPr>
            </w:pPr>
            <w:r w:rsidRPr="0011242F">
              <w:rPr>
                <w:rFonts w:ascii="Verdana" w:eastAsia="Times New Roman" w:hAnsi="Verdana" w:cs="Calibri"/>
                <w:kern w:val="0"/>
                <w:sz w:val="17"/>
                <w:szCs w:val="17"/>
                <w:lang w:val="en-GB"/>
                <w14:ligatures w14:val="none"/>
              </w:rPr>
              <w:t>48</w:t>
            </w:r>
          </w:p>
        </w:tc>
      </w:tr>
    </w:tbl>
    <w:p w14:paraId="4BECFA7F" w14:textId="77777777" w:rsidR="0011242F" w:rsidRPr="0011242F" w:rsidRDefault="0011242F" w:rsidP="0011242F">
      <w:pPr>
        <w:spacing w:after="0" w:line="240" w:lineRule="auto"/>
        <w:rPr>
          <w:rFonts w:ascii="Calibri" w:eastAsia="Times New Roman" w:hAnsi="Calibri" w:cs="Calibri"/>
          <w:color w:val="000000"/>
          <w:kern w:val="0"/>
          <w:lang w:val="en-GB"/>
          <w14:ligatures w14:val="none"/>
        </w:rPr>
      </w:pPr>
      <w:r w:rsidRPr="0011242F">
        <w:rPr>
          <w:rFonts w:ascii="Calibri" w:eastAsia="Times New Roman" w:hAnsi="Calibri" w:cs="Calibri"/>
          <w:color w:val="000000"/>
          <w:kern w:val="0"/>
          <w:sz w:val="20"/>
          <w:szCs w:val="20"/>
          <w14:ligatures w14:val="none"/>
        </w:rPr>
        <w:t> </w:t>
      </w:r>
    </w:p>
    <w:p w14:paraId="20711A86" w14:textId="77777777" w:rsidR="00852724" w:rsidRPr="00852724" w:rsidRDefault="00852724" w:rsidP="00852724">
      <w:pPr>
        <w:spacing w:after="0" w:line="240" w:lineRule="auto"/>
        <w:rPr>
          <w:rFonts w:ascii="Calibri" w:eastAsia="Times New Roman" w:hAnsi="Calibri" w:cs="Calibri"/>
          <w:color w:val="000000"/>
          <w:kern w:val="0"/>
          <w14:ligatures w14:val="none"/>
        </w:rPr>
      </w:pPr>
      <w:r w:rsidRPr="00852724">
        <w:rPr>
          <w:rFonts w:ascii="Calibri" w:eastAsia="Times New Roman" w:hAnsi="Calibri" w:cs="Calibri"/>
          <w:color w:val="000000"/>
          <w:kern w:val="0"/>
          <w:sz w:val="20"/>
          <w:szCs w:val="20"/>
          <w14:ligatures w14:val="none"/>
        </w:rPr>
        <w:t>Une évacuation des condensats sera à prévoir.</w:t>
      </w:r>
    </w:p>
    <w:p w14:paraId="3D2BD240" w14:textId="77777777" w:rsidR="00450A94" w:rsidRDefault="00450A94"/>
    <w:sectPr w:rsidR="00450A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24"/>
    <w:rsid w:val="0011242F"/>
    <w:rsid w:val="00450A94"/>
    <w:rsid w:val="004C425A"/>
    <w:rsid w:val="00852724"/>
    <w:rsid w:val="009711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5A57"/>
  <w15:chartTrackingRefBased/>
  <w15:docId w15:val="{6209020F-EA45-41EB-89A1-31AFAC35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11389">
      <w:bodyDiv w:val="1"/>
      <w:marLeft w:val="0"/>
      <w:marRight w:val="0"/>
      <w:marTop w:val="0"/>
      <w:marBottom w:val="0"/>
      <w:divBdr>
        <w:top w:val="none" w:sz="0" w:space="0" w:color="auto"/>
        <w:left w:val="none" w:sz="0" w:space="0" w:color="auto"/>
        <w:bottom w:val="none" w:sz="0" w:space="0" w:color="auto"/>
        <w:right w:val="none" w:sz="0" w:space="0" w:color="auto"/>
      </w:divBdr>
    </w:div>
    <w:div w:id="1055156160">
      <w:bodyDiv w:val="1"/>
      <w:marLeft w:val="0"/>
      <w:marRight w:val="0"/>
      <w:marTop w:val="0"/>
      <w:marBottom w:val="0"/>
      <w:divBdr>
        <w:top w:val="none" w:sz="0" w:space="0" w:color="auto"/>
        <w:left w:val="none" w:sz="0" w:space="0" w:color="auto"/>
        <w:bottom w:val="none" w:sz="0" w:space="0" w:color="auto"/>
        <w:right w:val="none" w:sz="0" w:space="0" w:color="auto"/>
      </w:divBdr>
    </w:div>
    <w:div w:id="1102729503">
      <w:bodyDiv w:val="1"/>
      <w:marLeft w:val="0"/>
      <w:marRight w:val="0"/>
      <w:marTop w:val="0"/>
      <w:marBottom w:val="0"/>
      <w:divBdr>
        <w:top w:val="none" w:sz="0" w:space="0" w:color="auto"/>
        <w:left w:val="none" w:sz="0" w:space="0" w:color="auto"/>
        <w:bottom w:val="none" w:sz="0" w:space="0" w:color="auto"/>
        <w:right w:val="none" w:sz="0" w:space="0" w:color="auto"/>
      </w:divBdr>
    </w:div>
    <w:div w:id="1148741192">
      <w:bodyDiv w:val="1"/>
      <w:marLeft w:val="0"/>
      <w:marRight w:val="0"/>
      <w:marTop w:val="0"/>
      <w:marBottom w:val="0"/>
      <w:divBdr>
        <w:top w:val="none" w:sz="0" w:space="0" w:color="auto"/>
        <w:left w:val="none" w:sz="0" w:space="0" w:color="auto"/>
        <w:bottom w:val="none" w:sz="0" w:space="0" w:color="auto"/>
        <w:right w:val="none" w:sz="0" w:space="0" w:color="auto"/>
      </w:divBdr>
    </w:div>
    <w:div w:id="1361977193">
      <w:bodyDiv w:val="1"/>
      <w:marLeft w:val="0"/>
      <w:marRight w:val="0"/>
      <w:marTop w:val="0"/>
      <w:marBottom w:val="0"/>
      <w:divBdr>
        <w:top w:val="none" w:sz="0" w:space="0" w:color="auto"/>
        <w:left w:val="none" w:sz="0" w:space="0" w:color="auto"/>
        <w:bottom w:val="none" w:sz="0" w:space="0" w:color="auto"/>
        <w:right w:val="none" w:sz="0" w:space="0" w:color="auto"/>
      </w:divBdr>
    </w:div>
    <w:div w:id="14480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1184</Characters>
  <Application>Microsoft Office Word</Application>
  <DocSecurity>0</DocSecurity>
  <Lines>9</Lines>
  <Paragraphs>2</Paragraphs>
  <ScaleCrop>false</ScaleCrop>
  <Company>Daikin Europe</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Clermonte</dc:creator>
  <cp:keywords/>
  <dc:description/>
  <cp:lastModifiedBy>Alexandre Clermonte</cp:lastModifiedBy>
  <cp:revision>2</cp:revision>
  <dcterms:created xsi:type="dcterms:W3CDTF">2023-12-13T15:34:00Z</dcterms:created>
  <dcterms:modified xsi:type="dcterms:W3CDTF">2025-08-08T08:04:00Z</dcterms:modified>
</cp:coreProperties>
</file>