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A8B0" w14:textId="77777777" w:rsidR="00C632C0" w:rsidRDefault="00337156" w:rsidP="00C63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14:ligatures w14:val="none"/>
        </w:rPr>
      </w:pPr>
      <w:r w:rsidRPr="00C632C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14:ligatures w14:val="none"/>
        </w:rPr>
        <w:t>Groupe</w:t>
      </w:r>
      <w:r w:rsidRPr="0033715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t xml:space="preserve"> </w:t>
      </w:r>
      <w:r w:rsidRPr="00C632C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14:ligatures w14:val="none"/>
        </w:rPr>
        <w:t>de condensation Inverter Réversible</w:t>
      </w:r>
    </w:p>
    <w:p w14:paraId="7AA51DE6" w14:textId="2BF934D4" w:rsidR="00337156" w:rsidRPr="00C632C0" w:rsidRDefault="00337156" w:rsidP="00C63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14:ligatures w14:val="none"/>
        </w:rPr>
      </w:pPr>
      <w:r w:rsidRPr="00C632C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14:ligatures w14:val="none"/>
        </w:rPr>
        <w:t xml:space="preserve"> R410A</w:t>
      </w:r>
      <w:r w:rsidR="00C632C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14:ligatures w14:val="none"/>
        </w:rPr>
        <w:t xml:space="preserve"> - ERQ</w:t>
      </w:r>
      <w:r w:rsidRPr="00C632C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14:ligatures w14:val="none"/>
        </w:rPr>
        <w:br/>
        <w:t>pour raccordement sur CTA</w:t>
      </w:r>
      <w:r w:rsidRPr="0033715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br/>
        <w:t> </w:t>
      </w:r>
    </w:p>
    <w:p w14:paraId="2B78E93B" w14:textId="77777777" w:rsidR="00337156" w:rsidRPr="00D17D00" w:rsidRDefault="00337156" w:rsidP="003371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</w:pPr>
      <w:r w:rsidRPr="00D17D00"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  <w:t>1 - GENERALITES</w:t>
      </w:r>
    </w:p>
    <w:p w14:paraId="58984CD5" w14:textId="77777777" w:rsidR="00337156" w:rsidRPr="00B47D2F" w:rsidRDefault="00337156" w:rsidP="00B47D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D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 traitement d'air neuf se fera par un système associant un groupe de condensation Inverter réversible au R410A à une centrale de traitement d'air équipée d'une batterie à détente directe, permettant le rafraîchissement et le chauffage de l'air hygiénique amené dans les locaux.</w:t>
      </w:r>
    </w:p>
    <w:p w14:paraId="65C85D65" w14:textId="77777777" w:rsidR="00337156" w:rsidRPr="00337156" w:rsidRDefault="00337156" w:rsidP="00337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D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L'installation sera composée des éléments suivants faisant l'objet d'un descriptif détaillé dans la suite de ce document:</w:t>
      </w:r>
    </w:p>
    <w:p w14:paraId="115C4859" w14:textId="77777777" w:rsidR="00B47D2F" w:rsidRDefault="00337156" w:rsidP="00B47D2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D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Groupe de condensation réversible au R410A, équipé d'un compresseur contrôlé par Inverter, qui permettra une modulation de la puissance du groupe en fonction des conditions de température de l'air neuf.</w:t>
      </w:r>
    </w:p>
    <w:p w14:paraId="501FF459" w14:textId="77777777" w:rsidR="00B47D2F" w:rsidRDefault="00337156" w:rsidP="00B47D2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D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Centrale de traitement d'air équipée d'une batterie à détente directe au R410A.</w:t>
      </w:r>
    </w:p>
    <w:p w14:paraId="33524F26" w14:textId="77777777" w:rsidR="00B47D2F" w:rsidRDefault="00337156" w:rsidP="00B47D2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D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 de boitier détendeurs</w:t>
      </w:r>
    </w:p>
    <w:p w14:paraId="52B3D99C" w14:textId="65A62E7D" w:rsidR="00337156" w:rsidRDefault="00337156" w:rsidP="00B47D2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D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Boîtier de contrôle permettant, selon le choix, une régulation selon divers paramètres de température: soufflage, mélange , ambiance, évaporation.</w:t>
      </w:r>
    </w:p>
    <w:p w14:paraId="2E0D6471" w14:textId="77777777" w:rsidR="00B47D2F" w:rsidRPr="00B47D2F" w:rsidRDefault="00B47D2F" w:rsidP="00B47D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FEE75A" w14:textId="14AE3216" w:rsidR="00337156" w:rsidRPr="002A626C" w:rsidRDefault="00337156" w:rsidP="002A62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D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L'utilisation du fluide frigorigène R410A, respectueux de la couche d'ozone, aura pour but d'optimiser les performances énergétiques de l'installation.</w:t>
      </w:r>
    </w:p>
    <w:p w14:paraId="741BE1E9" w14:textId="686953BC" w:rsidR="002A626C" w:rsidRPr="00B47D2F" w:rsidRDefault="00337156" w:rsidP="003371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</w:pPr>
      <w:r w:rsidRPr="00B47D2F"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  <w:t xml:space="preserve">2 </w:t>
      </w:r>
      <w:r w:rsidR="002A626C"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  <w:t>–</w:t>
      </w:r>
      <w:r w:rsidRPr="00B47D2F"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  <w:t xml:space="preserve"> MATERIEL</w:t>
      </w:r>
    </w:p>
    <w:p w14:paraId="1EF3C19F" w14:textId="77777777" w:rsidR="00337156" w:rsidRPr="00337156" w:rsidRDefault="00337156" w:rsidP="003371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371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2.1 - Groupe de condensation</w:t>
      </w:r>
    </w:p>
    <w:p w14:paraId="0857BED7" w14:textId="77777777" w:rsidR="00337156" w:rsidRDefault="00337156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 groupe de condensation sera de type ERQ, de marque DAIKIN, assemblée et testée en usine. Il sera préchargé en fluide R410A.</w:t>
      </w:r>
      <w:r w:rsidRPr="00DE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Il sera équipé d’un compresseur “ Scroll – DC Inverter ” à très haut rendement énergétique.</w:t>
      </w:r>
      <w:r w:rsidRPr="00DE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Le compresseur commandé par Inverter limitera les surintensités au démarrage et permettra la variation de la puissance frigorifique et calorifique.</w:t>
      </w:r>
      <w:r w:rsidRPr="00DE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Les ailettes du condenseur seront protégées par un revêtement polyacrylique évitant la corrosion.</w:t>
      </w:r>
      <w:r w:rsidRPr="00DE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De poids et dimensions réduits, le groupe s’installera aisément sur un toit, une terrasse, ou contre un mur extérieur.</w:t>
      </w:r>
      <w:r w:rsidRPr="00DE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En standard, une bouteille accumulatrice équipera l’unité afin de permettre la récupération intégrale du fluide frigorigène de l’installation.</w:t>
      </w:r>
    </w:p>
    <w:p w14:paraId="03A0A4CF" w14:textId="77777777" w:rsidR="00064D5B" w:rsidRDefault="00064D5B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76B293" w14:textId="77777777" w:rsidR="00064D5B" w:rsidRDefault="00064D5B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959D45" w14:textId="77777777" w:rsidR="00064D5B" w:rsidRDefault="00064D5B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AE6092" w14:textId="77777777" w:rsidR="00064D5B" w:rsidRDefault="00064D5B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0736E6" w14:textId="77777777" w:rsidR="00064D5B" w:rsidRDefault="00064D5B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29ECCC" w14:textId="77777777" w:rsidR="00064D5B" w:rsidRDefault="00064D5B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3BC43C" w14:textId="77777777" w:rsidR="00064D5B" w:rsidRDefault="00064D5B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FD52FF" w14:textId="77777777" w:rsidR="00BC2298" w:rsidRDefault="00BC2298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Grilledutableau"/>
        <w:tblW w:w="9061" w:type="dxa"/>
        <w:tblLook w:val="04A0" w:firstRow="1" w:lastRow="0" w:firstColumn="1" w:lastColumn="0" w:noHBand="0" w:noVBand="1"/>
      </w:tblPr>
      <w:tblGrid>
        <w:gridCol w:w="3539"/>
        <w:gridCol w:w="1840"/>
        <w:gridCol w:w="1841"/>
        <w:gridCol w:w="1841"/>
      </w:tblGrid>
      <w:tr w:rsidR="00064D5B" w14:paraId="12D0DA26" w14:textId="77777777" w:rsidTr="008679F1">
        <w:tc>
          <w:tcPr>
            <w:tcW w:w="3539" w:type="dxa"/>
            <w:vAlign w:val="center"/>
          </w:tcPr>
          <w:p w14:paraId="60225E6F" w14:textId="41081950" w:rsidR="00064D5B" w:rsidRPr="00064D5B" w:rsidRDefault="00064D5B" w:rsidP="00064D5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Référence</w:t>
            </w:r>
          </w:p>
        </w:tc>
        <w:tc>
          <w:tcPr>
            <w:tcW w:w="1840" w:type="dxa"/>
            <w:vAlign w:val="center"/>
          </w:tcPr>
          <w:p w14:paraId="768C9B5C" w14:textId="38F95175" w:rsidR="00064D5B" w:rsidRPr="00064D5B" w:rsidRDefault="00064D5B" w:rsidP="00064D5B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64D5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ERQ 100 AV</w:t>
            </w:r>
          </w:p>
        </w:tc>
        <w:tc>
          <w:tcPr>
            <w:tcW w:w="1841" w:type="dxa"/>
            <w:vAlign w:val="center"/>
          </w:tcPr>
          <w:p w14:paraId="0B3118DA" w14:textId="4FB6B4F8" w:rsidR="00064D5B" w:rsidRPr="00064D5B" w:rsidRDefault="00064D5B" w:rsidP="00064D5B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64D5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ERQ 125 AV</w:t>
            </w:r>
          </w:p>
        </w:tc>
        <w:tc>
          <w:tcPr>
            <w:tcW w:w="1841" w:type="dxa"/>
            <w:vAlign w:val="center"/>
          </w:tcPr>
          <w:p w14:paraId="7593238E" w14:textId="2F49622A" w:rsidR="00064D5B" w:rsidRPr="00064D5B" w:rsidRDefault="00064D5B" w:rsidP="00064D5B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64D5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ERQ 125 AW</w:t>
            </w:r>
          </w:p>
        </w:tc>
      </w:tr>
      <w:tr w:rsidR="00064D5B" w14:paraId="328D83D5" w14:textId="77777777" w:rsidTr="008679F1">
        <w:tc>
          <w:tcPr>
            <w:tcW w:w="3539" w:type="dxa"/>
            <w:vAlign w:val="center"/>
          </w:tcPr>
          <w:p w14:paraId="714D9661" w14:textId="6EBFFB42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sz w:val="20"/>
                <w:szCs w:val="20"/>
              </w:rPr>
              <w:t>Fluide frigorigène</w:t>
            </w:r>
          </w:p>
        </w:tc>
        <w:tc>
          <w:tcPr>
            <w:tcW w:w="1840" w:type="dxa"/>
            <w:vAlign w:val="center"/>
          </w:tcPr>
          <w:p w14:paraId="67A68C5E" w14:textId="2D47B775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R410A</w:t>
            </w:r>
          </w:p>
        </w:tc>
        <w:tc>
          <w:tcPr>
            <w:tcW w:w="1841" w:type="dxa"/>
            <w:vAlign w:val="center"/>
          </w:tcPr>
          <w:p w14:paraId="7B63D68D" w14:textId="3355C0F2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R410A</w:t>
            </w:r>
          </w:p>
        </w:tc>
        <w:tc>
          <w:tcPr>
            <w:tcW w:w="1841" w:type="dxa"/>
            <w:vAlign w:val="center"/>
          </w:tcPr>
          <w:p w14:paraId="402ADF5A" w14:textId="7BD7DBA7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R410A</w:t>
            </w:r>
          </w:p>
        </w:tc>
      </w:tr>
      <w:tr w:rsidR="00064D5B" w14:paraId="670420DD" w14:textId="77777777" w:rsidTr="008679F1">
        <w:tc>
          <w:tcPr>
            <w:tcW w:w="3539" w:type="dxa"/>
          </w:tcPr>
          <w:p w14:paraId="7A076030" w14:textId="76E51C7E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Puissance frigorifique (kW)</w:t>
            </w:r>
          </w:p>
        </w:tc>
        <w:tc>
          <w:tcPr>
            <w:tcW w:w="1840" w:type="dxa"/>
            <w:vAlign w:val="center"/>
          </w:tcPr>
          <w:p w14:paraId="1F515ABA" w14:textId="23128A69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11,2</w:t>
            </w:r>
          </w:p>
        </w:tc>
        <w:tc>
          <w:tcPr>
            <w:tcW w:w="1841" w:type="dxa"/>
            <w:vAlign w:val="center"/>
          </w:tcPr>
          <w:p w14:paraId="0F1244C0" w14:textId="1954919F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14,0</w:t>
            </w:r>
          </w:p>
        </w:tc>
        <w:tc>
          <w:tcPr>
            <w:tcW w:w="1841" w:type="dxa"/>
            <w:vAlign w:val="center"/>
          </w:tcPr>
          <w:p w14:paraId="4AE42F8C" w14:textId="5C63526F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14,0</w:t>
            </w:r>
          </w:p>
        </w:tc>
      </w:tr>
      <w:tr w:rsidR="00064D5B" w14:paraId="72709E23" w14:textId="77777777" w:rsidTr="008679F1">
        <w:tc>
          <w:tcPr>
            <w:tcW w:w="3539" w:type="dxa"/>
            <w:vAlign w:val="center"/>
          </w:tcPr>
          <w:p w14:paraId="246D9F18" w14:textId="5AAAD709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Puissance calorifique (kW)</w:t>
            </w:r>
          </w:p>
        </w:tc>
        <w:tc>
          <w:tcPr>
            <w:tcW w:w="1840" w:type="dxa"/>
            <w:vAlign w:val="center"/>
          </w:tcPr>
          <w:p w14:paraId="1489A57E" w14:textId="695E45B6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12,5</w:t>
            </w:r>
          </w:p>
        </w:tc>
        <w:tc>
          <w:tcPr>
            <w:tcW w:w="1841" w:type="dxa"/>
            <w:vAlign w:val="center"/>
          </w:tcPr>
          <w:p w14:paraId="7F9E85F2" w14:textId="60A54BB4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16,0</w:t>
            </w:r>
          </w:p>
        </w:tc>
        <w:tc>
          <w:tcPr>
            <w:tcW w:w="1841" w:type="dxa"/>
            <w:vAlign w:val="center"/>
          </w:tcPr>
          <w:p w14:paraId="7F859770" w14:textId="40562A82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16,0</w:t>
            </w:r>
          </w:p>
        </w:tc>
      </w:tr>
      <w:tr w:rsidR="00064D5B" w14:paraId="557A34B7" w14:textId="77777777" w:rsidTr="008679F1">
        <w:tc>
          <w:tcPr>
            <w:tcW w:w="3539" w:type="dxa"/>
            <w:vAlign w:val="center"/>
          </w:tcPr>
          <w:p w14:paraId="656F98ED" w14:textId="6708675B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EER / COP nominale</w:t>
            </w:r>
          </w:p>
        </w:tc>
        <w:tc>
          <w:tcPr>
            <w:tcW w:w="1840" w:type="dxa"/>
            <w:vAlign w:val="center"/>
          </w:tcPr>
          <w:p w14:paraId="407B3CED" w14:textId="44A98934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3,99 / 4,56</w:t>
            </w:r>
          </w:p>
        </w:tc>
        <w:tc>
          <w:tcPr>
            <w:tcW w:w="1841" w:type="dxa"/>
            <w:vAlign w:val="center"/>
          </w:tcPr>
          <w:p w14:paraId="52DD22D1" w14:textId="370170C6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3,99 / 4,15</w:t>
            </w:r>
          </w:p>
        </w:tc>
        <w:tc>
          <w:tcPr>
            <w:tcW w:w="1841" w:type="dxa"/>
            <w:vAlign w:val="center"/>
          </w:tcPr>
          <w:p w14:paraId="088D9A26" w14:textId="4D503073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3,98 / 4,00</w:t>
            </w:r>
          </w:p>
        </w:tc>
      </w:tr>
      <w:tr w:rsidR="00064D5B" w14:paraId="47E37D27" w14:textId="77777777" w:rsidTr="008679F1">
        <w:tc>
          <w:tcPr>
            <w:tcW w:w="3539" w:type="dxa"/>
            <w:vAlign w:val="center"/>
          </w:tcPr>
          <w:p w14:paraId="4C453CE7" w14:textId="48720E43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Niveau de Pression sonore dB(A) à 1m</w:t>
            </w:r>
          </w:p>
        </w:tc>
        <w:tc>
          <w:tcPr>
            <w:tcW w:w="1840" w:type="dxa"/>
            <w:vAlign w:val="center"/>
          </w:tcPr>
          <w:p w14:paraId="12153415" w14:textId="185F816C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841" w:type="dxa"/>
            <w:vAlign w:val="center"/>
          </w:tcPr>
          <w:p w14:paraId="527BD203" w14:textId="22F4D751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841" w:type="dxa"/>
            <w:vAlign w:val="center"/>
          </w:tcPr>
          <w:p w14:paraId="73349966" w14:textId="25F4F20E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54</w:t>
            </w:r>
          </w:p>
        </w:tc>
      </w:tr>
      <w:tr w:rsidR="00064D5B" w14:paraId="793F2E81" w14:textId="77777777" w:rsidTr="008679F1">
        <w:tc>
          <w:tcPr>
            <w:tcW w:w="3539" w:type="dxa"/>
            <w:vAlign w:val="center"/>
          </w:tcPr>
          <w:p w14:paraId="7D452BB6" w14:textId="5A99F203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Niveau de Puissance sonore dB(A)</w:t>
            </w:r>
          </w:p>
        </w:tc>
        <w:tc>
          <w:tcPr>
            <w:tcW w:w="1840" w:type="dxa"/>
            <w:vAlign w:val="center"/>
          </w:tcPr>
          <w:p w14:paraId="44BF7612" w14:textId="40F6BC55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841" w:type="dxa"/>
            <w:vAlign w:val="center"/>
          </w:tcPr>
          <w:p w14:paraId="00216776" w14:textId="54A3DA06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841" w:type="dxa"/>
            <w:vAlign w:val="center"/>
          </w:tcPr>
          <w:p w14:paraId="1C8AC1F5" w14:textId="2CF00D85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72</w:t>
            </w:r>
          </w:p>
        </w:tc>
      </w:tr>
      <w:tr w:rsidR="00064D5B" w14:paraId="4EF566E8" w14:textId="77777777" w:rsidTr="008679F1">
        <w:tc>
          <w:tcPr>
            <w:tcW w:w="3539" w:type="dxa"/>
            <w:vAlign w:val="center"/>
          </w:tcPr>
          <w:p w14:paraId="07E80646" w14:textId="5EE6367A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Encombrement HxLxP (mm)</w:t>
            </w:r>
          </w:p>
        </w:tc>
        <w:tc>
          <w:tcPr>
            <w:tcW w:w="1840" w:type="dxa"/>
            <w:vAlign w:val="center"/>
          </w:tcPr>
          <w:p w14:paraId="2293E677" w14:textId="10436C07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1345 x 900 x 320</w:t>
            </w:r>
          </w:p>
        </w:tc>
        <w:tc>
          <w:tcPr>
            <w:tcW w:w="1841" w:type="dxa"/>
            <w:vAlign w:val="center"/>
          </w:tcPr>
          <w:p w14:paraId="1EFD1CA1" w14:textId="059411AD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1345 x 900 x 320</w:t>
            </w:r>
          </w:p>
        </w:tc>
        <w:tc>
          <w:tcPr>
            <w:tcW w:w="1841" w:type="dxa"/>
            <w:vAlign w:val="center"/>
          </w:tcPr>
          <w:p w14:paraId="6F400535" w14:textId="1C76D81E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1680 x 635 x 765</w:t>
            </w:r>
          </w:p>
        </w:tc>
      </w:tr>
      <w:tr w:rsidR="00064D5B" w14:paraId="780C1BA7" w14:textId="77777777" w:rsidTr="008679F1">
        <w:tc>
          <w:tcPr>
            <w:tcW w:w="3539" w:type="dxa"/>
            <w:vAlign w:val="center"/>
          </w:tcPr>
          <w:p w14:paraId="3779A0E2" w14:textId="40C4DAE9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Poids de l’unité (kg)</w:t>
            </w:r>
          </w:p>
        </w:tc>
        <w:tc>
          <w:tcPr>
            <w:tcW w:w="1840" w:type="dxa"/>
            <w:vAlign w:val="center"/>
          </w:tcPr>
          <w:p w14:paraId="25EB8C2F" w14:textId="164DA834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841" w:type="dxa"/>
            <w:vAlign w:val="center"/>
          </w:tcPr>
          <w:p w14:paraId="586D9C32" w14:textId="3C3A9A4C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841" w:type="dxa"/>
            <w:vAlign w:val="center"/>
          </w:tcPr>
          <w:p w14:paraId="000E220E" w14:textId="2F3E336C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159</w:t>
            </w:r>
          </w:p>
        </w:tc>
      </w:tr>
      <w:tr w:rsidR="00064D5B" w14:paraId="638AB851" w14:textId="77777777" w:rsidTr="008679F1">
        <w:tc>
          <w:tcPr>
            <w:tcW w:w="3539" w:type="dxa"/>
            <w:vAlign w:val="center"/>
          </w:tcPr>
          <w:p w14:paraId="038DDDBE" w14:textId="5B0EE865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Plage de fonctionnement (Froid) °CBS</w:t>
            </w:r>
          </w:p>
        </w:tc>
        <w:tc>
          <w:tcPr>
            <w:tcW w:w="1840" w:type="dxa"/>
            <w:vAlign w:val="center"/>
          </w:tcPr>
          <w:p w14:paraId="4BFE7E05" w14:textId="00477999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-5 / +46°C</w:t>
            </w:r>
          </w:p>
        </w:tc>
        <w:tc>
          <w:tcPr>
            <w:tcW w:w="1841" w:type="dxa"/>
            <w:vAlign w:val="center"/>
          </w:tcPr>
          <w:p w14:paraId="7D355B62" w14:textId="5110A15F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-5 / +46°C</w:t>
            </w:r>
          </w:p>
        </w:tc>
        <w:tc>
          <w:tcPr>
            <w:tcW w:w="1841" w:type="dxa"/>
            <w:vAlign w:val="center"/>
          </w:tcPr>
          <w:p w14:paraId="02FFA914" w14:textId="060B9B99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-5 / +43°C</w:t>
            </w:r>
          </w:p>
        </w:tc>
      </w:tr>
      <w:tr w:rsidR="00064D5B" w14:paraId="53E7CBB2" w14:textId="77777777" w:rsidTr="008679F1">
        <w:tc>
          <w:tcPr>
            <w:tcW w:w="3539" w:type="dxa"/>
            <w:vAlign w:val="center"/>
          </w:tcPr>
          <w:p w14:paraId="5BCDDD48" w14:textId="45AECA21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Plage de fonctionnement</w:t>
            </w:r>
            <w:r w:rsid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(Chaud) °CBH</w:t>
            </w:r>
          </w:p>
        </w:tc>
        <w:tc>
          <w:tcPr>
            <w:tcW w:w="1840" w:type="dxa"/>
            <w:vAlign w:val="center"/>
          </w:tcPr>
          <w:p w14:paraId="0E2EC686" w14:textId="065CF588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-20 / +15,5°C</w:t>
            </w:r>
          </w:p>
        </w:tc>
        <w:tc>
          <w:tcPr>
            <w:tcW w:w="1841" w:type="dxa"/>
            <w:vAlign w:val="center"/>
          </w:tcPr>
          <w:p w14:paraId="3382AA65" w14:textId="374417AE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-20 / +15,5°C</w:t>
            </w:r>
          </w:p>
        </w:tc>
        <w:tc>
          <w:tcPr>
            <w:tcW w:w="1841" w:type="dxa"/>
            <w:vAlign w:val="center"/>
          </w:tcPr>
          <w:p w14:paraId="36CFA282" w14:textId="4A4D4DAB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-20 / +15,5°C</w:t>
            </w:r>
          </w:p>
        </w:tc>
      </w:tr>
      <w:tr w:rsidR="00064D5B" w14:paraId="760A4DBF" w14:textId="77777777" w:rsidTr="008679F1">
        <w:tc>
          <w:tcPr>
            <w:tcW w:w="3539" w:type="dxa"/>
            <w:vAlign w:val="center"/>
          </w:tcPr>
          <w:p w14:paraId="7E7E4BF2" w14:textId="375BDCCA" w:rsidR="00064D5B" w:rsidRPr="00064D5B" w:rsidRDefault="00064D5B" w:rsidP="00064D5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Alimentation électrique (V/Ph/Hz)</w:t>
            </w:r>
          </w:p>
        </w:tc>
        <w:tc>
          <w:tcPr>
            <w:tcW w:w="1840" w:type="dxa"/>
            <w:vAlign w:val="center"/>
          </w:tcPr>
          <w:p w14:paraId="1B9CEFE1" w14:textId="12A982B3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230 / 1 / 50</w:t>
            </w:r>
          </w:p>
        </w:tc>
        <w:tc>
          <w:tcPr>
            <w:tcW w:w="1841" w:type="dxa"/>
            <w:vAlign w:val="center"/>
          </w:tcPr>
          <w:p w14:paraId="6EAB39A4" w14:textId="0C07BDE2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230 / 1 / 50</w:t>
            </w:r>
          </w:p>
        </w:tc>
        <w:tc>
          <w:tcPr>
            <w:tcW w:w="1841" w:type="dxa"/>
            <w:vAlign w:val="center"/>
          </w:tcPr>
          <w:p w14:paraId="39CF3D8B" w14:textId="200C4B10" w:rsidR="00064D5B" w:rsidRPr="00064D5B" w:rsidRDefault="00064D5B" w:rsidP="00064D5B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400 / 3N / 50</w:t>
            </w:r>
          </w:p>
        </w:tc>
      </w:tr>
    </w:tbl>
    <w:p w14:paraId="15F17DB6" w14:textId="77777777" w:rsidR="00BC2298" w:rsidRDefault="00BC2298" w:rsidP="00DE3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Grilledutableau"/>
        <w:tblW w:w="9061" w:type="dxa"/>
        <w:tblLook w:val="04A0" w:firstRow="1" w:lastRow="0" w:firstColumn="1" w:lastColumn="0" w:noHBand="0" w:noVBand="1"/>
      </w:tblPr>
      <w:tblGrid>
        <w:gridCol w:w="3539"/>
        <w:gridCol w:w="1840"/>
        <w:gridCol w:w="1841"/>
        <w:gridCol w:w="1841"/>
      </w:tblGrid>
      <w:tr w:rsidR="008679F1" w:rsidRPr="00064D5B" w14:paraId="3582E9ED" w14:textId="77777777" w:rsidTr="005C767C">
        <w:tc>
          <w:tcPr>
            <w:tcW w:w="3539" w:type="dxa"/>
            <w:vAlign w:val="center"/>
          </w:tcPr>
          <w:p w14:paraId="1EBA3DAD" w14:textId="77777777" w:rsidR="008679F1" w:rsidRPr="00064D5B" w:rsidRDefault="008679F1" w:rsidP="005C767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Référence</w:t>
            </w:r>
          </w:p>
        </w:tc>
        <w:tc>
          <w:tcPr>
            <w:tcW w:w="1840" w:type="dxa"/>
            <w:vAlign w:val="center"/>
          </w:tcPr>
          <w:p w14:paraId="69DCCC2B" w14:textId="288331DF" w:rsidR="008679F1" w:rsidRPr="00064D5B" w:rsidRDefault="008679F1" w:rsidP="005C767C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64D5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ERQ 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40</w:t>
            </w:r>
            <w:r w:rsidRPr="00064D5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AV</w:t>
            </w:r>
          </w:p>
        </w:tc>
        <w:tc>
          <w:tcPr>
            <w:tcW w:w="1841" w:type="dxa"/>
            <w:vAlign w:val="center"/>
          </w:tcPr>
          <w:p w14:paraId="569181E9" w14:textId="3A84621C" w:rsidR="008679F1" w:rsidRPr="00064D5B" w:rsidRDefault="008679F1" w:rsidP="005C767C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64D5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ERQ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200 AW</w:t>
            </w:r>
          </w:p>
        </w:tc>
        <w:tc>
          <w:tcPr>
            <w:tcW w:w="1841" w:type="dxa"/>
            <w:vAlign w:val="center"/>
          </w:tcPr>
          <w:p w14:paraId="27319DE4" w14:textId="10DA3DAE" w:rsidR="008679F1" w:rsidRPr="00064D5B" w:rsidRDefault="008679F1" w:rsidP="005C767C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64D5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ERQ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250 AW</w:t>
            </w:r>
          </w:p>
        </w:tc>
      </w:tr>
      <w:tr w:rsidR="008679F1" w:rsidRPr="00064D5B" w14:paraId="746885F0" w14:textId="77777777" w:rsidTr="005C767C">
        <w:tc>
          <w:tcPr>
            <w:tcW w:w="3539" w:type="dxa"/>
            <w:vAlign w:val="center"/>
          </w:tcPr>
          <w:p w14:paraId="7A55087A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sz w:val="20"/>
                <w:szCs w:val="20"/>
              </w:rPr>
              <w:t>Fluide frigorigène</w:t>
            </w:r>
          </w:p>
        </w:tc>
        <w:tc>
          <w:tcPr>
            <w:tcW w:w="1840" w:type="dxa"/>
            <w:vAlign w:val="center"/>
          </w:tcPr>
          <w:p w14:paraId="2B33394A" w14:textId="4158FF73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R410A</w:t>
            </w:r>
          </w:p>
        </w:tc>
        <w:tc>
          <w:tcPr>
            <w:tcW w:w="1841" w:type="dxa"/>
            <w:vAlign w:val="center"/>
          </w:tcPr>
          <w:p w14:paraId="6729A738" w14:textId="31A687D0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R410A</w:t>
            </w:r>
          </w:p>
        </w:tc>
        <w:tc>
          <w:tcPr>
            <w:tcW w:w="1841" w:type="dxa"/>
            <w:vAlign w:val="center"/>
          </w:tcPr>
          <w:p w14:paraId="4400F94B" w14:textId="254F3E9D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R410A</w:t>
            </w:r>
          </w:p>
        </w:tc>
      </w:tr>
      <w:tr w:rsidR="008679F1" w:rsidRPr="00064D5B" w14:paraId="05385F0C" w14:textId="77777777" w:rsidTr="005C767C">
        <w:tc>
          <w:tcPr>
            <w:tcW w:w="3539" w:type="dxa"/>
          </w:tcPr>
          <w:p w14:paraId="68E74444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Puissance frigorifique (kW)</w:t>
            </w:r>
          </w:p>
        </w:tc>
        <w:tc>
          <w:tcPr>
            <w:tcW w:w="1840" w:type="dxa"/>
            <w:vAlign w:val="center"/>
          </w:tcPr>
          <w:p w14:paraId="0B32DD1E" w14:textId="6A7DBE3C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15,5</w:t>
            </w:r>
          </w:p>
        </w:tc>
        <w:tc>
          <w:tcPr>
            <w:tcW w:w="1841" w:type="dxa"/>
            <w:vAlign w:val="center"/>
          </w:tcPr>
          <w:p w14:paraId="39597767" w14:textId="696DC94A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22,4</w:t>
            </w:r>
          </w:p>
        </w:tc>
        <w:tc>
          <w:tcPr>
            <w:tcW w:w="1841" w:type="dxa"/>
            <w:vAlign w:val="center"/>
          </w:tcPr>
          <w:p w14:paraId="38468A67" w14:textId="51D249AA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28,0</w:t>
            </w:r>
          </w:p>
        </w:tc>
      </w:tr>
      <w:tr w:rsidR="008679F1" w:rsidRPr="00064D5B" w14:paraId="311B1F5C" w14:textId="77777777" w:rsidTr="005C767C">
        <w:tc>
          <w:tcPr>
            <w:tcW w:w="3539" w:type="dxa"/>
            <w:vAlign w:val="center"/>
          </w:tcPr>
          <w:p w14:paraId="5EA309BA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Puissance calorifique (kW)</w:t>
            </w:r>
          </w:p>
        </w:tc>
        <w:tc>
          <w:tcPr>
            <w:tcW w:w="1840" w:type="dxa"/>
            <w:vAlign w:val="center"/>
          </w:tcPr>
          <w:p w14:paraId="2FB91184" w14:textId="1D50F808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18,0</w:t>
            </w:r>
          </w:p>
        </w:tc>
        <w:tc>
          <w:tcPr>
            <w:tcW w:w="1841" w:type="dxa"/>
            <w:vAlign w:val="center"/>
          </w:tcPr>
          <w:p w14:paraId="69E1D2D6" w14:textId="569A1D5F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25,0</w:t>
            </w:r>
          </w:p>
        </w:tc>
        <w:tc>
          <w:tcPr>
            <w:tcW w:w="1841" w:type="dxa"/>
            <w:vAlign w:val="center"/>
          </w:tcPr>
          <w:p w14:paraId="17624C70" w14:textId="63AD4535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31,5</w:t>
            </w:r>
          </w:p>
        </w:tc>
      </w:tr>
      <w:tr w:rsidR="008679F1" w:rsidRPr="00064D5B" w14:paraId="645BACCB" w14:textId="77777777" w:rsidTr="005C767C">
        <w:tc>
          <w:tcPr>
            <w:tcW w:w="3539" w:type="dxa"/>
            <w:vAlign w:val="center"/>
          </w:tcPr>
          <w:p w14:paraId="788EC883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EER / COP nominale</w:t>
            </w:r>
          </w:p>
        </w:tc>
        <w:tc>
          <w:tcPr>
            <w:tcW w:w="1840" w:type="dxa"/>
            <w:vAlign w:val="center"/>
          </w:tcPr>
          <w:p w14:paraId="18AF3D5B" w14:textId="36DB1B6B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3,42 / 3,94</w:t>
            </w:r>
          </w:p>
        </w:tc>
        <w:tc>
          <w:tcPr>
            <w:tcW w:w="1841" w:type="dxa"/>
            <w:vAlign w:val="center"/>
          </w:tcPr>
          <w:p w14:paraId="15D197F7" w14:textId="382F2488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4,29 / 4,50</w:t>
            </w:r>
          </w:p>
        </w:tc>
        <w:tc>
          <w:tcPr>
            <w:tcW w:w="1841" w:type="dxa"/>
            <w:vAlign w:val="center"/>
          </w:tcPr>
          <w:p w14:paraId="24BF9248" w14:textId="2A348490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3,77 / 4,09</w:t>
            </w:r>
          </w:p>
        </w:tc>
      </w:tr>
      <w:tr w:rsidR="008679F1" w:rsidRPr="00064D5B" w14:paraId="15F11F94" w14:textId="77777777" w:rsidTr="005C767C">
        <w:tc>
          <w:tcPr>
            <w:tcW w:w="3539" w:type="dxa"/>
            <w:vAlign w:val="center"/>
          </w:tcPr>
          <w:p w14:paraId="2C00E361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Niveau de Pression sonore dB(A) à 1m</w:t>
            </w:r>
          </w:p>
        </w:tc>
        <w:tc>
          <w:tcPr>
            <w:tcW w:w="1840" w:type="dxa"/>
            <w:vAlign w:val="center"/>
          </w:tcPr>
          <w:p w14:paraId="391FCED7" w14:textId="746DA84F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841" w:type="dxa"/>
            <w:vAlign w:val="center"/>
          </w:tcPr>
          <w:p w14:paraId="144ED657" w14:textId="55F84541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841" w:type="dxa"/>
            <w:vAlign w:val="center"/>
          </w:tcPr>
          <w:p w14:paraId="2F817EFB" w14:textId="16A42D63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58</w:t>
            </w:r>
          </w:p>
        </w:tc>
      </w:tr>
      <w:tr w:rsidR="008679F1" w:rsidRPr="00064D5B" w14:paraId="31992554" w14:textId="77777777" w:rsidTr="005C767C">
        <w:tc>
          <w:tcPr>
            <w:tcW w:w="3539" w:type="dxa"/>
            <w:vAlign w:val="center"/>
          </w:tcPr>
          <w:p w14:paraId="5E5533AD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Niveau de Puissance sonore dB(A)</w:t>
            </w:r>
          </w:p>
        </w:tc>
        <w:tc>
          <w:tcPr>
            <w:tcW w:w="1840" w:type="dxa"/>
            <w:vAlign w:val="center"/>
          </w:tcPr>
          <w:p w14:paraId="05AC558F" w14:textId="1C049EA9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841" w:type="dxa"/>
            <w:vAlign w:val="center"/>
          </w:tcPr>
          <w:p w14:paraId="3F5AFD08" w14:textId="6B0DEBCE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841" w:type="dxa"/>
            <w:vAlign w:val="center"/>
          </w:tcPr>
          <w:p w14:paraId="20A9EA95" w14:textId="24E12A43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78</w:t>
            </w:r>
          </w:p>
        </w:tc>
      </w:tr>
      <w:tr w:rsidR="008679F1" w:rsidRPr="00064D5B" w14:paraId="313E60E3" w14:textId="77777777" w:rsidTr="005C767C">
        <w:tc>
          <w:tcPr>
            <w:tcW w:w="3539" w:type="dxa"/>
            <w:vAlign w:val="center"/>
          </w:tcPr>
          <w:p w14:paraId="5B39E121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Encombrement HxLxP (mm)</w:t>
            </w:r>
          </w:p>
        </w:tc>
        <w:tc>
          <w:tcPr>
            <w:tcW w:w="1840" w:type="dxa"/>
            <w:vAlign w:val="center"/>
          </w:tcPr>
          <w:p w14:paraId="567E921E" w14:textId="5E30EE15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1345 x 900 x 320</w:t>
            </w:r>
          </w:p>
        </w:tc>
        <w:tc>
          <w:tcPr>
            <w:tcW w:w="1841" w:type="dxa"/>
            <w:vAlign w:val="center"/>
          </w:tcPr>
          <w:p w14:paraId="50B86EA6" w14:textId="762E4B29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1680 x 930 x 765</w:t>
            </w:r>
          </w:p>
        </w:tc>
        <w:tc>
          <w:tcPr>
            <w:tcW w:w="1841" w:type="dxa"/>
            <w:vAlign w:val="center"/>
          </w:tcPr>
          <w:p w14:paraId="4E79C9C5" w14:textId="31D6CBE3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1680 x 930 x 765</w:t>
            </w:r>
          </w:p>
        </w:tc>
      </w:tr>
      <w:tr w:rsidR="008679F1" w:rsidRPr="00064D5B" w14:paraId="21C500AF" w14:textId="77777777" w:rsidTr="005C767C">
        <w:tc>
          <w:tcPr>
            <w:tcW w:w="3539" w:type="dxa"/>
            <w:vAlign w:val="center"/>
          </w:tcPr>
          <w:p w14:paraId="4117A188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Poids de l’unité (kg)</w:t>
            </w:r>
          </w:p>
        </w:tc>
        <w:tc>
          <w:tcPr>
            <w:tcW w:w="1840" w:type="dxa"/>
            <w:vAlign w:val="center"/>
          </w:tcPr>
          <w:p w14:paraId="429CB9AB" w14:textId="185B84BF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841" w:type="dxa"/>
            <w:vAlign w:val="center"/>
          </w:tcPr>
          <w:p w14:paraId="118BB81B" w14:textId="49C4E5C6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1841" w:type="dxa"/>
            <w:vAlign w:val="center"/>
          </w:tcPr>
          <w:p w14:paraId="38229543" w14:textId="6C70DBD5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240</w:t>
            </w:r>
          </w:p>
        </w:tc>
      </w:tr>
      <w:tr w:rsidR="008679F1" w:rsidRPr="00064D5B" w14:paraId="0BDBDA35" w14:textId="77777777" w:rsidTr="005C767C">
        <w:tc>
          <w:tcPr>
            <w:tcW w:w="3539" w:type="dxa"/>
            <w:vAlign w:val="center"/>
          </w:tcPr>
          <w:p w14:paraId="1DB80F25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Plage de fonctionnement (Froid) °CBS</w:t>
            </w:r>
          </w:p>
        </w:tc>
        <w:tc>
          <w:tcPr>
            <w:tcW w:w="1840" w:type="dxa"/>
            <w:vAlign w:val="center"/>
          </w:tcPr>
          <w:p w14:paraId="3929C28D" w14:textId="7D90BB41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-5 / +46°C</w:t>
            </w:r>
          </w:p>
        </w:tc>
        <w:tc>
          <w:tcPr>
            <w:tcW w:w="1841" w:type="dxa"/>
            <w:vAlign w:val="center"/>
          </w:tcPr>
          <w:p w14:paraId="12197956" w14:textId="46545516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-5 / +43°C</w:t>
            </w:r>
          </w:p>
        </w:tc>
        <w:tc>
          <w:tcPr>
            <w:tcW w:w="1841" w:type="dxa"/>
            <w:vAlign w:val="center"/>
          </w:tcPr>
          <w:p w14:paraId="7650911C" w14:textId="3BF00602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-5 / +43°C</w:t>
            </w:r>
          </w:p>
        </w:tc>
      </w:tr>
      <w:tr w:rsidR="008679F1" w:rsidRPr="00064D5B" w14:paraId="0CE5E714" w14:textId="77777777" w:rsidTr="005C767C">
        <w:tc>
          <w:tcPr>
            <w:tcW w:w="3539" w:type="dxa"/>
            <w:vAlign w:val="center"/>
          </w:tcPr>
          <w:p w14:paraId="0C4EE0A0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Plage de fonctionnement</w:t>
            </w: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(Chaud) °CBH</w:t>
            </w:r>
          </w:p>
        </w:tc>
        <w:tc>
          <w:tcPr>
            <w:tcW w:w="1840" w:type="dxa"/>
            <w:vAlign w:val="center"/>
          </w:tcPr>
          <w:p w14:paraId="490C0489" w14:textId="1F47FDAC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-20 / +15,5°C</w:t>
            </w:r>
          </w:p>
        </w:tc>
        <w:tc>
          <w:tcPr>
            <w:tcW w:w="1841" w:type="dxa"/>
            <w:vAlign w:val="center"/>
          </w:tcPr>
          <w:p w14:paraId="6D16CE43" w14:textId="26BDFC8D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-20 / +15,5°C</w:t>
            </w:r>
          </w:p>
        </w:tc>
        <w:tc>
          <w:tcPr>
            <w:tcW w:w="1841" w:type="dxa"/>
            <w:vAlign w:val="center"/>
          </w:tcPr>
          <w:p w14:paraId="1EF3E005" w14:textId="3305CC50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-20 / +15,5°C</w:t>
            </w:r>
          </w:p>
        </w:tc>
      </w:tr>
      <w:tr w:rsidR="008679F1" w:rsidRPr="00064D5B" w14:paraId="5503EE80" w14:textId="77777777" w:rsidTr="005C767C">
        <w:tc>
          <w:tcPr>
            <w:tcW w:w="3539" w:type="dxa"/>
            <w:vAlign w:val="center"/>
          </w:tcPr>
          <w:p w14:paraId="6ADE93C6" w14:textId="77777777" w:rsidR="008679F1" w:rsidRPr="00064D5B" w:rsidRDefault="008679F1" w:rsidP="008679F1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64D5B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Alimentation électrique (V/Ph/Hz)</w:t>
            </w:r>
          </w:p>
        </w:tc>
        <w:tc>
          <w:tcPr>
            <w:tcW w:w="1840" w:type="dxa"/>
            <w:vAlign w:val="center"/>
          </w:tcPr>
          <w:p w14:paraId="77D804E4" w14:textId="2F028F81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230 / 1 / 50</w:t>
            </w:r>
          </w:p>
        </w:tc>
        <w:tc>
          <w:tcPr>
            <w:tcW w:w="1841" w:type="dxa"/>
            <w:vAlign w:val="center"/>
          </w:tcPr>
          <w:p w14:paraId="3540A9AC" w14:textId="3802ED6E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400 / 3N / 50</w:t>
            </w:r>
          </w:p>
        </w:tc>
        <w:tc>
          <w:tcPr>
            <w:tcW w:w="1841" w:type="dxa"/>
            <w:vAlign w:val="center"/>
          </w:tcPr>
          <w:p w14:paraId="0CB9F54B" w14:textId="44E059D1" w:rsidR="008679F1" w:rsidRPr="00064D5B" w:rsidRDefault="008679F1" w:rsidP="008679F1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8679F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400 / 3N / 50</w:t>
            </w:r>
          </w:p>
        </w:tc>
      </w:tr>
    </w:tbl>
    <w:p w14:paraId="0C17AE26" w14:textId="63EE07A4" w:rsidR="00337156" w:rsidRPr="008679F1" w:rsidRDefault="00337156" w:rsidP="00867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/>
          <w14:ligatures w14:val="none"/>
        </w:rPr>
      </w:pPr>
      <w:r w:rsidRPr="003371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/>
          <w14:ligatures w14:val="none"/>
        </w:rPr>
        <w:t> </w:t>
      </w:r>
      <w:r w:rsidRPr="003371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GB"/>
          <w14:ligatures w14:val="none"/>
        </w:rPr>
        <w:t>2.2 - Kit boîtier détendeur</w:t>
      </w:r>
    </w:p>
    <w:p w14:paraId="0380978A" w14:textId="77777777" w:rsidR="00337156" w:rsidRPr="00C74ED6" w:rsidRDefault="00337156" w:rsidP="0033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4E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 sélection du kit de boîtiers détendeurs se fera selon les caractéristiques de l'échangeur de la centrale de traitement d'air.</w:t>
      </w:r>
      <w:r w:rsidRPr="00C74E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Il est conçu pour être installé à l'intérieur ou à l'extérieur et peut être fixé sur un mur.</w:t>
      </w:r>
    </w:p>
    <w:tbl>
      <w:tblPr>
        <w:tblW w:w="5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1"/>
      </w:tblGrid>
      <w:tr w:rsidR="002966B3" w:rsidRPr="0050298E" w14:paraId="280C93C6" w14:textId="77777777" w:rsidTr="005C767C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7A6C7A" w14:textId="77777777" w:rsidR="002966B3" w:rsidRPr="0050298E" w:rsidRDefault="002966B3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Référence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A06341" w14:textId="77777777" w:rsidR="002966B3" w:rsidRPr="0050298E" w:rsidRDefault="002966B3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EKEXV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A</w:t>
            </w: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 xml:space="preserve"> 50-500</w:t>
            </w:r>
          </w:p>
        </w:tc>
      </w:tr>
      <w:tr w:rsidR="002966B3" w:rsidRPr="0050298E" w14:paraId="317CE243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8DE0A2" w14:textId="77777777" w:rsidR="002966B3" w:rsidRPr="0050298E" w:rsidRDefault="002966B3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Puissance Echangeur de chaleur (kW)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F6831" w14:textId="77777777" w:rsidR="002966B3" w:rsidRPr="0050298E" w:rsidRDefault="002966B3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5 à 61</w:t>
            </w:r>
          </w:p>
        </w:tc>
      </w:tr>
      <w:tr w:rsidR="002966B3" w:rsidRPr="0050298E" w14:paraId="5DD07C8A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01029A" w14:textId="77777777" w:rsidR="002966B3" w:rsidRPr="0050298E" w:rsidRDefault="002966B3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Encombrement HxLxP (mm)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D94C2" w14:textId="77777777" w:rsidR="002966B3" w:rsidRPr="0050298E" w:rsidRDefault="002966B3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401 x 215 x 78</w:t>
            </w:r>
          </w:p>
        </w:tc>
      </w:tr>
      <w:tr w:rsidR="002966B3" w:rsidRPr="0050298E" w14:paraId="6CC67911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469E77" w14:textId="77777777" w:rsidR="002966B3" w:rsidRPr="0050298E" w:rsidRDefault="002966B3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Poids de l’unité (kg)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9F707" w14:textId="77777777" w:rsidR="002966B3" w:rsidRPr="0050298E" w:rsidRDefault="002966B3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2,9</w:t>
            </w:r>
          </w:p>
        </w:tc>
      </w:tr>
      <w:tr w:rsidR="002966B3" w:rsidRPr="0050298E" w14:paraId="5188656D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1F83DB" w14:textId="77777777" w:rsidR="002966B3" w:rsidRPr="0050298E" w:rsidRDefault="002966B3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Fluide frigorigène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213A4" w14:textId="77777777" w:rsidR="002966B3" w:rsidRPr="0050298E" w:rsidRDefault="002966B3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R32 ou R410A</w:t>
            </w:r>
          </w:p>
        </w:tc>
      </w:tr>
      <w:tr w:rsidR="002966B3" w:rsidRPr="0050298E" w14:paraId="51336BA6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7E155" w14:textId="77777777" w:rsidR="002966B3" w:rsidRPr="0050298E" w:rsidRDefault="002966B3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Niveau de Pression sonore dB(A)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C78CE" w14:textId="77777777" w:rsidR="002966B3" w:rsidRPr="0050298E" w:rsidRDefault="002966B3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45</w:t>
            </w:r>
          </w:p>
        </w:tc>
      </w:tr>
      <w:tr w:rsidR="002966B3" w:rsidRPr="0050298E" w14:paraId="411CBFFA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B59FF6" w14:textId="77777777" w:rsidR="002966B3" w:rsidRPr="0050298E" w:rsidRDefault="002966B3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Plage de fonctionnement (°CBS)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C68659" w14:textId="77777777" w:rsidR="002966B3" w:rsidRPr="0050298E" w:rsidRDefault="002966B3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20</w:t>
            </w: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/ +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52</w:t>
            </w: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°C</w:t>
            </w:r>
          </w:p>
        </w:tc>
      </w:tr>
    </w:tbl>
    <w:p w14:paraId="6F3AAC52" w14:textId="77777777" w:rsidR="00337156" w:rsidRPr="002966B3" w:rsidRDefault="00337156" w:rsidP="003371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</w:pPr>
      <w:r w:rsidRPr="002966B3"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  <w:t>3 – CIRCUIT FRIGORIFIQUE ET ELECTRIQUE</w:t>
      </w:r>
    </w:p>
    <w:p w14:paraId="38F1CA1D" w14:textId="77777777" w:rsidR="00337156" w:rsidRPr="00D40FD2" w:rsidRDefault="00337156" w:rsidP="0033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40F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 raccordement entre le groupe de condensation, le boîtier détendeur et l'évaporateur de la CTA sera effectué avec des liaisons cuivre de faible diamètre (qualité frigorifique), isolées séparément.</w:t>
      </w:r>
      <w:r w:rsidRPr="00D40F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La longueur maximale sera de 50m équivalent (dont 30m de dénivelé) entre le groupe et le boîtier détendeur.</w:t>
      </w:r>
      <w:r w:rsidRPr="00D40F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La longueur maximale entre le boîtier détendeur et la centrale de traitement d'air sera de 5m.</w:t>
      </w:r>
      <w:r w:rsidRPr="00D40F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Le groupe de condensation sera sélectionnée, selon le cas, en monophasé 220/1/50 ou en triphasé 400/3N/50. Il sera protégée par un disjoncteur différentiel de calibre adapté.</w:t>
      </w:r>
      <w:r w:rsidRPr="00D40F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Le boîtier de commande sera alimentée en monophasé 220/1/50. Il sera protégé par un </w:t>
      </w:r>
      <w:r w:rsidRPr="00D40F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disjoncteur différentiel de calibre adapté.</w:t>
      </w:r>
      <w:r w:rsidRPr="00D40F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Une liaison bus (série/parallèle) une paire, non polarisée, blindée assurera la communication entre le groupe de condensation et le boîtier de contrôle.</w:t>
      </w:r>
      <w:r w:rsidRPr="00D40F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Une liaison bus trois paires, non polarisée, blindée assurera la communication entre le boîtier de contrôle et le boîtier détendeur.</w:t>
      </w:r>
    </w:p>
    <w:p w14:paraId="2EE38BFC" w14:textId="77777777" w:rsidR="00337156" w:rsidRPr="002966B3" w:rsidRDefault="00337156" w:rsidP="003371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</w:pPr>
      <w:r w:rsidRPr="002966B3"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  <w:t>4 – REGULATION ET SECURITE</w:t>
      </w:r>
    </w:p>
    <w:p w14:paraId="067D6595" w14:textId="77777777" w:rsidR="00D40FD2" w:rsidRPr="0050298E" w:rsidRDefault="00D40FD2" w:rsidP="00D40FD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La régulation se fera via un boîtier de contrôle interface entre le groupe de condensation et la centrale de traitement d'air.</w:t>
      </w:r>
    </w:p>
    <w:p w14:paraId="13AEC499" w14:textId="77777777" w:rsidR="00D40FD2" w:rsidRPr="0050298E" w:rsidRDefault="00D40FD2" w:rsidP="00D40FD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1"/>
      </w:tblGrid>
      <w:tr w:rsidR="00D40FD2" w:rsidRPr="0050298E" w14:paraId="34430F12" w14:textId="77777777" w:rsidTr="005C767C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8CF4A" w14:textId="77777777" w:rsidR="00D40FD2" w:rsidRPr="0050298E" w:rsidRDefault="00D40FD2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Référence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F51C13" w14:textId="77777777" w:rsidR="00D40FD2" w:rsidRPr="0050298E" w:rsidRDefault="00D40FD2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EKE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ACB</w:t>
            </w:r>
          </w:p>
        </w:tc>
      </w:tr>
      <w:tr w:rsidR="00D40FD2" w:rsidRPr="0050298E" w14:paraId="67601818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5FD49" w14:textId="77777777" w:rsidR="00D40FD2" w:rsidRPr="0050298E" w:rsidRDefault="00D40FD2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Type de contrôle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F28187" w14:textId="77777777" w:rsidR="00D40FD2" w:rsidRPr="0050298E" w:rsidRDefault="00D40FD2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W/X/Y/Z/Z’</w:t>
            </w:r>
          </w:p>
        </w:tc>
      </w:tr>
      <w:tr w:rsidR="00D40FD2" w:rsidRPr="0050298E" w14:paraId="4599B651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893AE4" w14:textId="77777777" w:rsidR="00D40FD2" w:rsidRPr="0050298E" w:rsidRDefault="00D40FD2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Encombrement HxLxP (mm)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A5256D" w14:textId="77777777" w:rsidR="00D40FD2" w:rsidRPr="0050298E" w:rsidRDefault="00D40FD2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400 x 300 x 150</w:t>
            </w:r>
          </w:p>
        </w:tc>
      </w:tr>
      <w:tr w:rsidR="00D40FD2" w:rsidRPr="0050298E" w14:paraId="76E058FE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41499" w14:textId="77777777" w:rsidR="00D40FD2" w:rsidRPr="0050298E" w:rsidRDefault="00D40FD2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Poids de l’unité (kg)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6FCE3" w14:textId="77777777" w:rsidR="00D40FD2" w:rsidRPr="0050298E" w:rsidRDefault="00D40FD2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5,1</w:t>
            </w:r>
          </w:p>
        </w:tc>
      </w:tr>
      <w:tr w:rsidR="00D40FD2" w:rsidRPr="0050298E" w14:paraId="480CC028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301E3" w14:textId="77777777" w:rsidR="00D40FD2" w:rsidRPr="0050298E" w:rsidRDefault="00D40FD2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Plage de fonctionnement (°CBS)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C0D73" w14:textId="77777777" w:rsidR="00D40FD2" w:rsidRPr="0050298E" w:rsidRDefault="00D40FD2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-10 / +40°C</w:t>
            </w:r>
          </w:p>
        </w:tc>
      </w:tr>
      <w:tr w:rsidR="00D40FD2" w:rsidRPr="0050298E" w14:paraId="778A3D8D" w14:textId="77777777" w:rsidTr="005C767C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48E08" w14:textId="77777777" w:rsidR="00D40FD2" w:rsidRPr="0050298E" w:rsidRDefault="00D40FD2" w:rsidP="005C767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Alimentation électrique (V/Ph/Hz)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99807" w14:textId="77777777" w:rsidR="00D40FD2" w:rsidRPr="0050298E" w:rsidRDefault="00D40FD2" w:rsidP="005C7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230 / 1 / 50</w:t>
            </w:r>
          </w:p>
        </w:tc>
      </w:tr>
    </w:tbl>
    <w:p w14:paraId="0D68318D" w14:textId="77777777" w:rsidR="00D40FD2" w:rsidRPr="00D02A1A" w:rsidRDefault="00D40FD2" w:rsidP="00D40FD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7141B447" w14:textId="77777777" w:rsidR="00D40FD2" w:rsidRPr="0050298E" w:rsidRDefault="00D40FD2" w:rsidP="00D40FD2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W: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régulation en fonction des températures de l'air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soufflé ou repris avec un régulateur externe (CTA non DAIKIN) de type DCC, via 0-10V proportionnel.</w:t>
      </w:r>
    </w:p>
    <w:p w14:paraId="00AE01A1" w14:textId="77777777" w:rsidR="00D40FD2" w:rsidRDefault="00D40FD2" w:rsidP="00D40FD2">
      <w:pPr>
        <w:spacing w:after="0" w:line="240" w:lineRule="auto"/>
        <w:ind w:left="720" w:hanging="360"/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X: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régulation en fonction des températures de l'air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soufflé ou repris avec un régulateur de type DDC (type de régulation d’usine sur les CTA DAIKIN)</w:t>
      </w:r>
    </w:p>
    <w:p w14:paraId="2E813E74" w14:textId="77777777" w:rsidR="00D40FD2" w:rsidRDefault="00D40FD2" w:rsidP="00D40FD2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Y: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régulation en fonction de la température d'évaporation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/condensation (contrôle indirect de la température ambiante) via un thermostat tiers et une télécommande Madoka DAIKIN</w:t>
      </w:r>
    </w:p>
    <w:p w14:paraId="2F45AE20" w14:textId="77777777" w:rsidR="00D40FD2" w:rsidRDefault="00D40FD2" w:rsidP="00D40FD2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Z: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régulation en fonction de la température de reprise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via une télécommande Madoka DAIKIN (application de type CTA Simple Flux 100% air repris). Possibilité pour un groupe VRV de comporter plusieurs kits DX ou de mixé avec des unités intérieurs VRV.</w:t>
      </w:r>
    </w:p>
    <w:p w14:paraId="1F35D9A1" w14:textId="77777777" w:rsidR="00D40FD2" w:rsidRDefault="00D40FD2" w:rsidP="00D40FD2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Z’: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régulation en fonction de la température de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soufflage via une télécommande Madoka DAIKIN (CTA avec air neuf possible). Possibilité pour un groupe VRV de comporter plusieurs kits DX ou de mixé avec des unités intérieurs VRV.</w:t>
      </w:r>
    </w:p>
    <w:p w14:paraId="057BC61A" w14:textId="77777777" w:rsidR="00337156" w:rsidRPr="002966B3" w:rsidRDefault="00337156" w:rsidP="003371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</w:pPr>
      <w:r w:rsidRPr="002966B3">
        <w:rPr>
          <w:rFonts w:ascii="Times New Roman" w:eastAsia="Times New Roman" w:hAnsi="Times New Roman" w:cs="Times New Roman"/>
          <w:b/>
          <w:bCs/>
          <w:color w:val="00A0C6"/>
          <w:kern w:val="0"/>
          <w:sz w:val="36"/>
          <w:szCs w:val="36"/>
          <w14:ligatures w14:val="none"/>
        </w:rPr>
        <w:t>5 – MISE EN ŒUVRE</w:t>
      </w:r>
    </w:p>
    <w:p w14:paraId="786B8665" w14:textId="77777777" w:rsidR="00337156" w:rsidRPr="00D40FD2" w:rsidRDefault="00337156" w:rsidP="0033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40F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L’installation sera réalisée dans les règles de l'art, selon les préconisations DAIKIN, afin d'engager la garantie du constructeur de 3 ans pièces et 5 ans compresseurs.</w:t>
      </w:r>
    </w:p>
    <w:p w14:paraId="4AADF07B" w14:textId="4A15D142" w:rsidR="00450A94" w:rsidRDefault="00450A94"/>
    <w:sectPr w:rsidR="0045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1F4C"/>
    <w:multiLevelType w:val="hybridMultilevel"/>
    <w:tmpl w:val="AA3E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3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56"/>
    <w:rsid w:val="00064D5B"/>
    <w:rsid w:val="002966B3"/>
    <w:rsid w:val="002A626C"/>
    <w:rsid w:val="00337156"/>
    <w:rsid w:val="00450A94"/>
    <w:rsid w:val="004B5288"/>
    <w:rsid w:val="008679F1"/>
    <w:rsid w:val="009711BD"/>
    <w:rsid w:val="009E665C"/>
    <w:rsid w:val="00B47D2F"/>
    <w:rsid w:val="00BC2298"/>
    <w:rsid w:val="00C632C0"/>
    <w:rsid w:val="00C74ED6"/>
    <w:rsid w:val="00D17D00"/>
    <w:rsid w:val="00D40FD2"/>
    <w:rsid w:val="00D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E437"/>
  <w15:chartTrackingRefBased/>
  <w15:docId w15:val="{4E96B28E-19A1-4F9D-9FC9-27A46A3A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337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337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337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GB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3371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715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33715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33715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33715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3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aragraphedeliste">
    <w:name w:val="List Paragraph"/>
    <w:basedOn w:val="Normal"/>
    <w:uiPriority w:val="34"/>
    <w:qFormat/>
    <w:rsid w:val="00B47D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5418</Characters>
  <Application>Microsoft Office Word</Application>
  <DocSecurity>0</DocSecurity>
  <Lines>45</Lines>
  <Paragraphs>12</Paragraphs>
  <ScaleCrop>false</ScaleCrop>
  <Company>Daikin Europe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14</cp:revision>
  <dcterms:created xsi:type="dcterms:W3CDTF">2024-01-19T10:53:00Z</dcterms:created>
  <dcterms:modified xsi:type="dcterms:W3CDTF">2024-01-19T14:35:00Z</dcterms:modified>
</cp:coreProperties>
</file>